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91" w:rsidRDefault="00BC1291" w:rsidP="00DA1706">
      <w:pPr>
        <w:autoSpaceDE w:val="0"/>
        <w:autoSpaceDN w:val="0"/>
        <w:adjustRightInd w:val="0"/>
        <w:spacing w:line="360" w:lineRule="auto"/>
        <w:jc w:val="center"/>
        <w:rPr>
          <w:b/>
          <w:bCs/>
          <w:sz w:val="32"/>
          <w:szCs w:val="32"/>
        </w:rPr>
      </w:pPr>
      <w:bookmarkStart w:id="0" w:name="_GoBack"/>
      <w:bookmarkEnd w:id="0"/>
      <w:r>
        <w:rPr>
          <w:b/>
          <w:bCs/>
          <w:sz w:val="32"/>
          <w:szCs w:val="32"/>
        </w:rPr>
        <w:t>FEDERACIÓN GALLEGA DE TENIS DE MESA</w:t>
      </w:r>
    </w:p>
    <w:p w:rsidR="00BC1291" w:rsidRDefault="00BC1291" w:rsidP="00D40AF8">
      <w:pPr>
        <w:autoSpaceDE w:val="0"/>
        <w:autoSpaceDN w:val="0"/>
        <w:adjustRightInd w:val="0"/>
        <w:spacing w:line="360" w:lineRule="auto"/>
        <w:jc w:val="center"/>
        <w:rPr>
          <w:b/>
          <w:bCs/>
          <w:sz w:val="32"/>
          <w:szCs w:val="32"/>
        </w:rPr>
      </w:pPr>
      <w:r>
        <w:rPr>
          <w:b/>
          <w:bCs/>
          <w:sz w:val="32"/>
          <w:szCs w:val="32"/>
        </w:rPr>
        <w:t>CUENTAS ANUALES CORRESPONDIENTES</w:t>
      </w:r>
    </w:p>
    <w:p w:rsidR="00BC1291" w:rsidRDefault="00BC1291" w:rsidP="00D40AF8">
      <w:pPr>
        <w:autoSpaceDE w:val="0"/>
        <w:autoSpaceDN w:val="0"/>
        <w:adjustRightInd w:val="0"/>
        <w:spacing w:line="360" w:lineRule="auto"/>
        <w:jc w:val="center"/>
        <w:rPr>
          <w:b/>
          <w:bCs/>
          <w:sz w:val="32"/>
          <w:szCs w:val="32"/>
        </w:rPr>
      </w:pPr>
      <w:r>
        <w:rPr>
          <w:b/>
          <w:bCs/>
          <w:sz w:val="32"/>
          <w:szCs w:val="32"/>
        </w:rPr>
        <w:t>AL EJERCICIO 201</w:t>
      </w:r>
      <w:r w:rsidR="00A93B3D">
        <w:rPr>
          <w:b/>
          <w:bCs/>
          <w:sz w:val="32"/>
          <w:szCs w:val="32"/>
        </w:rPr>
        <w:t>4</w:t>
      </w:r>
    </w:p>
    <w:p w:rsidR="00BC1291" w:rsidRDefault="00BC1291" w:rsidP="00D40AF8">
      <w:pPr>
        <w:autoSpaceDE w:val="0"/>
        <w:autoSpaceDN w:val="0"/>
        <w:adjustRightInd w:val="0"/>
        <w:spacing w:line="360" w:lineRule="auto"/>
        <w:rPr>
          <w:b/>
          <w:bCs/>
        </w:rPr>
      </w:pPr>
    </w:p>
    <w:p w:rsidR="00BC1291" w:rsidRDefault="00BC1291" w:rsidP="00D40AF8">
      <w:pPr>
        <w:autoSpaceDE w:val="0"/>
        <w:autoSpaceDN w:val="0"/>
        <w:adjustRightInd w:val="0"/>
        <w:spacing w:line="360" w:lineRule="auto"/>
        <w:rPr>
          <w:b/>
          <w:bCs/>
        </w:rPr>
      </w:pPr>
    </w:p>
    <w:p w:rsidR="00BC1291" w:rsidRDefault="00BC1291" w:rsidP="00510B05">
      <w:pPr>
        <w:autoSpaceDE w:val="0"/>
        <w:autoSpaceDN w:val="0"/>
        <w:adjustRightInd w:val="0"/>
        <w:spacing w:line="360" w:lineRule="auto"/>
        <w:jc w:val="both"/>
        <w:rPr>
          <w:b/>
          <w:bCs/>
        </w:rPr>
      </w:pPr>
      <w:r>
        <w:rPr>
          <w:b/>
          <w:bCs/>
        </w:rPr>
        <w:t>ÍNDICE</w:t>
      </w:r>
    </w:p>
    <w:p w:rsidR="00510B05" w:rsidRDefault="00510B05" w:rsidP="00510B05">
      <w:pPr>
        <w:autoSpaceDE w:val="0"/>
        <w:autoSpaceDN w:val="0"/>
        <w:adjustRightInd w:val="0"/>
        <w:spacing w:line="360" w:lineRule="auto"/>
        <w:jc w:val="both"/>
        <w:rPr>
          <w:b/>
          <w:bCs/>
        </w:rPr>
      </w:pPr>
    </w:p>
    <w:p w:rsidR="00BC1291" w:rsidRDefault="00BC1291" w:rsidP="00510B05">
      <w:pPr>
        <w:autoSpaceDE w:val="0"/>
        <w:autoSpaceDN w:val="0"/>
        <w:adjustRightInd w:val="0"/>
        <w:spacing w:line="360" w:lineRule="auto"/>
        <w:jc w:val="both"/>
        <w:rPr>
          <w:b/>
          <w:bCs/>
        </w:rPr>
      </w:pPr>
      <w:r>
        <w:rPr>
          <w:b/>
          <w:bCs/>
        </w:rPr>
        <w:t>CUENTAS ANUALES:</w:t>
      </w:r>
    </w:p>
    <w:p w:rsidR="00510B05" w:rsidRDefault="00510B05" w:rsidP="00510B05">
      <w:pPr>
        <w:autoSpaceDE w:val="0"/>
        <w:autoSpaceDN w:val="0"/>
        <w:adjustRightInd w:val="0"/>
        <w:spacing w:line="360" w:lineRule="auto"/>
        <w:jc w:val="both"/>
        <w:rPr>
          <w:b/>
          <w:bCs/>
        </w:rPr>
      </w:pPr>
    </w:p>
    <w:p w:rsidR="00A93B3D" w:rsidRDefault="00BC1291" w:rsidP="00510B05">
      <w:pPr>
        <w:autoSpaceDE w:val="0"/>
        <w:autoSpaceDN w:val="0"/>
        <w:adjustRightInd w:val="0"/>
        <w:spacing w:line="360" w:lineRule="auto"/>
        <w:jc w:val="both"/>
      </w:pPr>
      <w:r>
        <w:rPr>
          <w:rFonts w:ascii="SymbolMT" w:hAnsi="SymbolMT" w:cs="SymbolMT"/>
        </w:rPr>
        <w:t xml:space="preserve">• </w:t>
      </w:r>
      <w:r>
        <w:t>Balance de situación a 31 de diciembre de 201</w:t>
      </w:r>
      <w:r w:rsidR="00A93B3D">
        <w:t>4</w:t>
      </w:r>
      <w:r>
        <w:t xml:space="preserve"> </w:t>
      </w:r>
    </w:p>
    <w:p w:rsidR="00BC1291" w:rsidRDefault="00BC1291" w:rsidP="00510B05">
      <w:pPr>
        <w:autoSpaceDE w:val="0"/>
        <w:autoSpaceDN w:val="0"/>
        <w:adjustRightInd w:val="0"/>
        <w:spacing w:line="360" w:lineRule="auto"/>
        <w:jc w:val="both"/>
      </w:pPr>
      <w:r>
        <w:rPr>
          <w:rFonts w:ascii="SymbolMT" w:hAnsi="SymbolMT" w:cs="SymbolMT"/>
        </w:rPr>
        <w:t xml:space="preserve">• </w:t>
      </w:r>
      <w:r>
        <w:t xml:space="preserve">Cuenta de pérdidas y ganancias correspondiente al ejercicio </w:t>
      </w:r>
      <w:r w:rsidR="00A93B3D">
        <w:t>2014</w:t>
      </w:r>
    </w:p>
    <w:p w:rsidR="00BC1291" w:rsidRDefault="00BC1291" w:rsidP="00510B05">
      <w:pPr>
        <w:autoSpaceDE w:val="0"/>
        <w:autoSpaceDN w:val="0"/>
        <w:adjustRightInd w:val="0"/>
        <w:spacing w:line="360" w:lineRule="auto"/>
        <w:jc w:val="both"/>
      </w:pPr>
      <w:r>
        <w:rPr>
          <w:rFonts w:ascii="SymbolMT" w:hAnsi="SymbolMT" w:cs="SymbolMT"/>
        </w:rPr>
        <w:t xml:space="preserve">• </w:t>
      </w:r>
      <w:r>
        <w:t>Estado de cambios en el Patrimonio Neto correspondiente al ejercicio 201</w:t>
      </w:r>
      <w:r w:rsidR="00A93B3D">
        <w:t>4</w:t>
      </w:r>
    </w:p>
    <w:p w:rsidR="00350B52" w:rsidRDefault="00BC1291" w:rsidP="00510B05">
      <w:pPr>
        <w:autoSpaceDE w:val="0"/>
        <w:autoSpaceDN w:val="0"/>
        <w:adjustRightInd w:val="0"/>
        <w:spacing w:line="360" w:lineRule="auto"/>
        <w:jc w:val="both"/>
      </w:pPr>
      <w:r>
        <w:rPr>
          <w:rFonts w:ascii="SymbolMT" w:hAnsi="SymbolMT" w:cs="SymbolMT"/>
        </w:rPr>
        <w:t xml:space="preserve">• </w:t>
      </w:r>
      <w:r>
        <w:t>Memoria de ejercicio anual term</w:t>
      </w:r>
      <w:r w:rsidR="00A93B3D">
        <w:t>inado el 31 de diciembre de 2014</w:t>
      </w:r>
    </w:p>
    <w:p w:rsidR="00BC1291" w:rsidRDefault="00791BCF">
      <w:pPr>
        <w:widowControl w:val="0"/>
        <w:autoSpaceDE w:val="0"/>
        <w:autoSpaceDN w:val="0"/>
        <w:adjustRightInd w:val="0"/>
      </w:pPr>
      <w:r>
        <w:br w:type="page"/>
      </w:r>
    </w:p>
    <w:p w:rsidR="001454BE" w:rsidRDefault="001454BE" w:rsidP="001454BE">
      <w:pPr>
        <w:autoSpaceDE w:val="0"/>
        <w:autoSpaceDN w:val="0"/>
        <w:adjustRightInd w:val="0"/>
        <w:jc w:val="center"/>
        <w:rPr>
          <w:sz w:val="22"/>
          <w:szCs w:val="22"/>
        </w:rPr>
      </w:pPr>
      <w:r>
        <w:rPr>
          <w:sz w:val="22"/>
          <w:szCs w:val="22"/>
        </w:rPr>
        <w:t>FEDERACIÓN GALLEGA DE TENIS DE MESA</w:t>
      </w:r>
    </w:p>
    <w:p w:rsidR="001454BE" w:rsidRDefault="001454BE" w:rsidP="001454BE">
      <w:pPr>
        <w:autoSpaceDE w:val="0"/>
        <w:autoSpaceDN w:val="0"/>
        <w:adjustRightInd w:val="0"/>
        <w:jc w:val="center"/>
        <w:rPr>
          <w:sz w:val="22"/>
          <w:szCs w:val="22"/>
        </w:rPr>
      </w:pPr>
    </w:p>
    <w:p w:rsidR="001454BE" w:rsidRDefault="001454BE" w:rsidP="0080776E">
      <w:pPr>
        <w:autoSpaceDE w:val="0"/>
        <w:autoSpaceDN w:val="0"/>
        <w:adjustRightInd w:val="0"/>
        <w:jc w:val="center"/>
        <w:rPr>
          <w:sz w:val="22"/>
          <w:szCs w:val="22"/>
        </w:rPr>
      </w:pPr>
      <w:r>
        <w:rPr>
          <w:sz w:val="22"/>
          <w:szCs w:val="22"/>
        </w:rPr>
        <w:t>MEMORIA DEL EJERCICIO ANUAL TERMINADO EL 31 DE DICIEMBRE DE 201</w:t>
      </w:r>
      <w:r w:rsidR="00791BCF">
        <w:rPr>
          <w:sz w:val="22"/>
          <w:szCs w:val="22"/>
        </w:rPr>
        <w:t>4</w:t>
      </w:r>
    </w:p>
    <w:p w:rsidR="00B35A37" w:rsidRDefault="00B35A37" w:rsidP="0080776E">
      <w:pPr>
        <w:autoSpaceDE w:val="0"/>
        <w:autoSpaceDN w:val="0"/>
        <w:adjustRightInd w:val="0"/>
        <w:jc w:val="center"/>
        <w:rPr>
          <w:sz w:val="22"/>
          <w:szCs w:val="22"/>
        </w:rPr>
      </w:pPr>
    </w:p>
    <w:p w:rsidR="001454BE" w:rsidRDefault="001454BE" w:rsidP="001454BE">
      <w:pPr>
        <w:autoSpaceDE w:val="0"/>
        <w:autoSpaceDN w:val="0"/>
        <w:adjustRightInd w:val="0"/>
        <w:rPr>
          <w:b/>
          <w:bCs/>
          <w:sz w:val="22"/>
          <w:szCs w:val="22"/>
        </w:rPr>
      </w:pPr>
      <w:r>
        <w:rPr>
          <w:b/>
          <w:bCs/>
          <w:sz w:val="22"/>
          <w:szCs w:val="22"/>
        </w:rPr>
        <w:t>NOTA 1. ACTIVIDAD DE LA FEDERACIÓN</w:t>
      </w:r>
    </w:p>
    <w:p w:rsidR="00510B05" w:rsidRDefault="00510B05" w:rsidP="001454BE">
      <w:pPr>
        <w:autoSpaceDE w:val="0"/>
        <w:autoSpaceDN w:val="0"/>
        <w:adjustRightInd w:val="0"/>
        <w:rPr>
          <w:b/>
          <w:bCs/>
          <w:sz w:val="22"/>
          <w:szCs w:val="22"/>
        </w:rPr>
      </w:pPr>
    </w:p>
    <w:p w:rsidR="001454BE" w:rsidRPr="00B35A37" w:rsidRDefault="001454BE" w:rsidP="00510B05">
      <w:pPr>
        <w:autoSpaceDE w:val="0"/>
        <w:autoSpaceDN w:val="0"/>
        <w:adjustRightInd w:val="0"/>
        <w:jc w:val="both"/>
        <w:rPr>
          <w:color w:val="FF0000"/>
          <w:sz w:val="22"/>
          <w:szCs w:val="22"/>
        </w:rPr>
      </w:pPr>
      <w:r>
        <w:rPr>
          <w:b/>
          <w:bCs/>
          <w:sz w:val="22"/>
          <w:szCs w:val="22"/>
        </w:rPr>
        <w:t xml:space="preserve">LA FEDERACION GALLEGA DE TENIS DE MESA </w:t>
      </w:r>
      <w:r>
        <w:rPr>
          <w:sz w:val="22"/>
          <w:szCs w:val="22"/>
        </w:rPr>
        <w:t xml:space="preserve">(en adelante “la Federación”) es una entidad </w:t>
      </w:r>
      <w:r w:rsidR="00275C91">
        <w:rPr>
          <w:sz w:val="22"/>
          <w:szCs w:val="22"/>
        </w:rPr>
        <w:t>privada con Personalidad Jurídica propia y sin ánimo de lucro.</w:t>
      </w:r>
      <w:r w:rsidR="00437B70">
        <w:rPr>
          <w:sz w:val="22"/>
          <w:szCs w:val="22"/>
        </w:rPr>
        <w:t xml:space="preserve"> Su ámbito territorial comprende la Comunidad Autónoma de Galicia para el desenvolvimiento de las competencias que le son propias y está integrada por las Entidades Deportivas, Deportistas, Técnicos, Entrenadores y </w:t>
      </w:r>
      <w:r w:rsidR="00791BCF">
        <w:rPr>
          <w:sz w:val="22"/>
          <w:szCs w:val="22"/>
        </w:rPr>
        <w:t>Árbitros</w:t>
      </w:r>
      <w:r w:rsidR="00437B70">
        <w:rPr>
          <w:sz w:val="22"/>
          <w:szCs w:val="22"/>
        </w:rPr>
        <w:t xml:space="preserve"> dedicados a la práctica del deporte de Tenis de Mesa.</w:t>
      </w:r>
    </w:p>
    <w:p w:rsidR="001454BE" w:rsidRDefault="001454BE" w:rsidP="00510B05">
      <w:pPr>
        <w:autoSpaceDE w:val="0"/>
        <w:autoSpaceDN w:val="0"/>
        <w:adjustRightInd w:val="0"/>
        <w:jc w:val="both"/>
        <w:rPr>
          <w:b/>
          <w:bCs/>
          <w:sz w:val="22"/>
          <w:szCs w:val="22"/>
        </w:rPr>
      </w:pPr>
    </w:p>
    <w:p w:rsidR="00275C91" w:rsidRDefault="00437B70" w:rsidP="00510B05">
      <w:pPr>
        <w:autoSpaceDE w:val="0"/>
        <w:autoSpaceDN w:val="0"/>
        <w:adjustRightInd w:val="0"/>
        <w:jc w:val="both"/>
        <w:rPr>
          <w:bCs/>
          <w:sz w:val="22"/>
          <w:szCs w:val="22"/>
        </w:rPr>
      </w:pPr>
      <w:r>
        <w:rPr>
          <w:bCs/>
          <w:sz w:val="22"/>
          <w:szCs w:val="22"/>
        </w:rPr>
        <w:t>La Federación Gallega de Tenis de Mesa, además de las Competencias que le son propias, ejerce por Delegación funciones públicas de carácter administrativo ya que actúa como agente colaborador de la Administración Pública.</w:t>
      </w:r>
    </w:p>
    <w:p w:rsidR="00275C91" w:rsidRDefault="00275C91" w:rsidP="00510B05">
      <w:pPr>
        <w:autoSpaceDE w:val="0"/>
        <w:autoSpaceDN w:val="0"/>
        <w:adjustRightInd w:val="0"/>
        <w:jc w:val="both"/>
        <w:rPr>
          <w:bCs/>
          <w:sz w:val="22"/>
          <w:szCs w:val="22"/>
        </w:rPr>
      </w:pPr>
    </w:p>
    <w:p w:rsidR="00275C91" w:rsidRDefault="00275C91" w:rsidP="00510B05">
      <w:pPr>
        <w:autoSpaceDE w:val="0"/>
        <w:autoSpaceDN w:val="0"/>
        <w:adjustRightInd w:val="0"/>
        <w:jc w:val="both"/>
        <w:rPr>
          <w:bCs/>
          <w:sz w:val="22"/>
          <w:szCs w:val="22"/>
        </w:rPr>
      </w:pPr>
      <w:r>
        <w:rPr>
          <w:bCs/>
          <w:sz w:val="22"/>
          <w:szCs w:val="22"/>
        </w:rPr>
        <w:t>La Federación Gallega de Tenis de Mesa también está integrada dentro de la Real Federación Española de Tenis de Mesa.</w:t>
      </w:r>
    </w:p>
    <w:p w:rsidR="00275C91" w:rsidRDefault="00275C91" w:rsidP="00510B05">
      <w:pPr>
        <w:autoSpaceDE w:val="0"/>
        <w:autoSpaceDN w:val="0"/>
        <w:adjustRightInd w:val="0"/>
        <w:jc w:val="both"/>
        <w:rPr>
          <w:bCs/>
          <w:sz w:val="22"/>
          <w:szCs w:val="22"/>
        </w:rPr>
      </w:pPr>
    </w:p>
    <w:p w:rsidR="00275C91" w:rsidRPr="00275C91" w:rsidRDefault="00275C91" w:rsidP="00510B05">
      <w:pPr>
        <w:autoSpaceDE w:val="0"/>
        <w:autoSpaceDN w:val="0"/>
        <w:adjustRightInd w:val="0"/>
        <w:jc w:val="both"/>
        <w:rPr>
          <w:bCs/>
          <w:sz w:val="22"/>
          <w:szCs w:val="22"/>
        </w:rPr>
      </w:pPr>
      <w:r>
        <w:rPr>
          <w:bCs/>
          <w:sz w:val="22"/>
          <w:szCs w:val="22"/>
        </w:rPr>
        <w:t xml:space="preserve">Tiene su domicilio Social y Estatutario en </w:t>
      </w:r>
      <w:r w:rsidR="00872182">
        <w:rPr>
          <w:bCs/>
          <w:sz w:val="22"/>
          <w:szCs w:val="22"/>
        </w:rPr>
        <w:t>Narón en la calle Mercedes Freire Lago número 4. 15570 Narón, siendo el CIF V15149453.</w:t>
      </w:r>
    </w:p>
    <w:p w:rsidR="00275C91" w:rsidRDefault="00275C91" w:rsidP="00510B05">
      <w:pPr>
        <w:autoSpaceDE w:val="0"/>
        <w:autoSpaceDN w:val="0"/>
        <w:adjustRightInd w:val="0"/>
        <w:jc w:val="both"/>
        <w:rPr>
          <w:b/>
          <w:bCs/>
          <w:sz w:val="22"/>
          <w:szCs w:val="22"/>
        </w:rPr>
      </w:pPr>
    </w:p>
    <w:p w:rsidR="001454BE" w:rsidRDefault="001454BE" w:rsidP="00510B05">
      <w:pPr>
        <w:autoSpaceDE w:val="0"/>
        <w:autoSpaceDN w:val="0"/>
        <w:adjustRightInd w:val="0"/>
        <w:jc w:val="both"/>
        <w:rPr>
          <w:b/>
          <w:bCs/>
          <w:sz w:val="22"/>
          <w:szCs w:val="22"/>
        </w:rPr>
      </w:pPr>
      <w:r>
        <w:rPr>
          <w:b/>
          <w:bCs/>
          <w:sz w:val="22"/>
          <w:szCs w:val="22"/>
        </w:rPr>
        <w:t>NOTA 2. BASES DE PRESENTACIÓN DE LAS CUENTAS ANUALES</w:t>
      </w:r>
    </w:p>
    <w:p w:rsidR="00510B05" w:rsidRDefault="00510B05" w:rsidP="00510B05">
      <w:pPr>
        <w:autoSpaceDE w:val="0"/>
        <w:autoSpaceDN w:val="0"/>
        <w:adjustRightInd w:val="0"/>
        <w:jc w:val="both"/>
        <w:rPr>
          <w:b/>
          <w:bCs/>
          <w:sz w:val="22"/>
          <w:szCs w:val="22"/>
        </w:rPr>
      </w:pPr>
    </w:p>
    <w:p w:rsidR="001454BE" w:rsidRDefault="001454BE" w:rsidP="00510B05">
      <w:pPr>
        <w:numPr>
          <w:ilvl w:val="0"/>
          <w:numId w:val="2"/>
        </w:numPr>
        <w:autoSpaceDE w:val="0"/>
        <w:autoSpaceDN w:val="0"/>
        <w:adjustRightInd w:val="0"/>
        <w:jc w:val="both"/>
        <w:rPr>
          <w:b/>
          <w:bCs/>
          <w:sz w:val="22"/>
          <w:szCs w:val="22"/>
        </w:rPr>
      </w:pPr>
      <w:r>
        <w:rPr>
          <w:b/>
          <w:bCs/>
          <w:sz w:val="22"/>
          <w:szCs w:val="22"/>
        </w:rPr>
        <w:t>Imagen fiel</w:t>
      </w:r>
    </w:p>
    <w:p w:rsidR="00510B05" w:rsidRDefault="00510B05" w:rsidP="00510B05">
      <w:pPr>
        <w:autoSpaceDE w:val="0"/>
        <w:autoSpaceDN w:val="0"/>
        <w:adjustRightInd w:val="0"/>
        <w:ind w:left="720"/>
        <w:jc w:val="both"/>
        <w:rPr>
          <w:b/>
          <w:bCs/>
          <w:sz w:val="22"/>
          <w:szCs w:val="22"/>
        </w:rPr>
      </w:pPr>
    </w:p>
    <w:p w:rsidR="001454BE" w:rsidRDefault="001454BE" w:rsidP="00510B05">
      <w:pPr>
        <w:autoSpaceDE w:val="0"/>
        <w:autoSpaceDN w:val="0"/>
        <w:adjustRightInd w:val="0"/>
        <w:jc w:val="both"/>
        <w:rPr>
          <w:sz w:val="22"/>
          <w:szCs w:val="22"/>
        </w:rPr>
      </w:pPr>
      <w:r>
        <w:rPr>
          <w:sz w:val="22"/>
          <w:szCs w:val="22"/>
        </w:rPr>
        <w:t>Las cuentas anuales correspondientes al ejercicio 201</w:t>
      </w:r>
      <w:r w:rsidR="00791BCF">
        <w:rPr>
          <w:sz w:val="22"/>
          <w:szCs w:val="22"/>
        </w:rPr>
        <w:t>4</w:t>
      </w:r>
      <w:r>
        <w:rPr>
          <w:sz w:val="22"/>
          <w:szCs w:val="22"/>
        </w:rPr>
        <w:t>, que comprenden el balance de situación, la cuenta de pérdidas y ganancias, el estado de cambios en el patrimonio neto y la memoria, han sido formulados por la Junta Directiva a partir de los registros contables de la Federación al 31 de diciembre de 201</w:t>
      </w:r>
      <w:r w:rsidR="00791BCF">
        <w:rPr>
          <w:sz w:val="22"/>
          <w:szCs w:val="22"/>
        </w:rPr>
        <w:t>4</w:t>
      </w:r>
      <w:r>
        <w:rPr>
          <w:sz w:val="22"/>
          <w:szCs w:val="22"/>
        </w:rPr>
        <w:t>, y en ellas se han aplicado los principios contables y criterios de valoración recogidos en el Real Decreto 1514/2007 de 16 de noviembre, aplicando las modificaciones introducidas al mismo mediante el Real Decreto 1159/2010 de 17 de septiembre, por el que se aprobó el Plan General de Contabilidad y el resto de disposiciones legales vigentes en materia contable con objeto de expresar la imagen fiel del patrimonio, de la situación financiera, de los recursos obtenidos y aplicados y de los resultados de la Federación. Asimismo, se cumple con la adaptación del PGC a las Federaciones Deportivas aprobado por la Orden del Ministerio de Economía y Hacienda de 2 de febrero de 1994, en todo lo que no se oponga al referido PGC de 2007.</w:t>
      </w:r>
    </w:p>
    <w:p w:rsidR="001454BE" w:rsidRDefault="001454BE" w:rsidP="00510B05">
      <w:pPr>
        <w:autoSpaceDE w:val="0"/>
        <w:autoSpaceDN w:val="0"/>
        <w:adjustRightInd w:val="0"/>
        <w:jc w:val="both"/>
        <w:rPr>
          <w:sz w:val="22"/>
          <w:szCs w:val="22"/>
        </w:rPr>
      </w:pPr>
      <w:r>
        <w:rPr>
          <w:sz w:val="22"/>
          <w:szCs w:val="22"/>
        </w:rPr>
        <w:t>No existen razones excepcionales por las que, para mostrar la imagen fiel, no se hayan aplicado disposiciones legales en materia contable.</w:t>
      </w:r>
    </w:p>
    <w:p w:rsidR="00510B05" w:rsidRDefault="00510B05" w:rsidP="00510B05">
      <w:pPr>
        <w:autoSpaceDE w:val="0"/>
        <w:autoSpaceDN w:val="0"/>
        <w:adjustRightInd w:val="0"/>
        <w:jc w:val="both"/>
        <w:rPr>
          <w:sz w:val="22"/>
          <w:szCs w:val="22"/>
        </w:rPr>
      </w:pPr>
    </w:p>
    <w:p w:rsidR="001454BE" w:rsidRDefault="001454BE" w:rsidP="00510B05">
      <w:pPr>
        <w:numPr>
          <w:ilvl w:val="0"/>
          <w:numId w:val="2"/>
        </w:numPr>
        <w:autoSpaceDE w:val="0"/>
        <w:autoSpaceDN w:val="0"/>
        <w:adjustRightInd w:val="0"/>
        <w:jc w:val="both"/>
        <w:rPr>
          <w:b/>
          <w:bCs/>
          <w:sz w:val="22"/>
          <w:szCs w:val="22"/>
        </w:rPr>
      </w:pPr>
      <w:r>
        <w:rPr>
          <w:b/>
          <w:bCs/>
          <w:sz w:val="22"/>
          <w:szCs w:val="22"/>
        </w:rPr>
        <w:t>Principios contables aplicados</w:t>
      </w:r>
    </w:p>
    <w:p w:rsidR="00510B05" w:rsidRDefault="00510B05" w:rsidP="00510B05">
      <w:pPr>
        <w:autoSpaceDE w:val="0"/>
        <w:autoSpaceDN w:val="0"/>
        <w:adjustRightInd w:val="0"/>
        <w:ind w:left="720"/>
        <w:jc w:val="both"/>
        <w:rPr>
          <w:b/>
          <w:bCs/>
          <w:sz w:val="22"/>
          <w:szCs w:val="22"/>
        </w:rPr>
      </w:pPr>
    </w:p>
    <w:p w:rsidR="001454BE" w:rsidRDefault="001454BE" w:rsidP="00510B05">
      <w:pPr>
        <w:autoSpaceDE w:val="0"/>
        <w:autoSpaceDN w:val="0"/>
        <w:adjustRightInd w:val="0"/>
        <w:jc w:val="both"/>
        <w:rPr>
          <w:sz w:val="22"/>
          <w:szCs w:val="22"/>
        </w:rPr>
      </w:pPr>
      <w:r>
        <w:rPr>
          <w:sz w:val="22"/>
          <w:szCs w:val="22"/>
        </w:rPr>
        <w:t>Las cuentas anuales se han formulado aplicando los principios contables establecidos en el Código de Comercio y el Plan General de Contabilidad.</w:t>
      </w:r>
    </w:p>
    <w:p w:rsidR="00510B05" w:rsidRDefault="00510B05" w:rsidP="00510B05">
      <w:pPr>
        <w:autoSpaceDE w:val="0"/>
        <w:autoSpaceDN w:val="0"/>
        <w:adjustRightInd w:val="0"/>
        <w:jc w:val="both"/>
        <w:rPr>
          <w:sz w:val="22"/>
          <w:szCs w:val="22"/>
        </w:rPr>
      </w:pPr>
    </w:p>
    <w:p w:rsidR="001454BE" w:rsidRDefault="001454BE" w:rsidP="00510B05">
      <w:pPr>
        <w:numPr>
          <w:ilvl w:val="0"/>
          <w:numId w:val="2"/>
        </w:numPr>
        <w:autoSpaceDE w:val="0"/>
        <w:autoSpaceDN w:val="0"/>
        <w:adjustRightInd w:val="0"/>
        <w:jc w:val="both"/>
        <w:rPr>
          <w:b/>
          <w:bCs/>
          <w:sz w:val="22"/>
          <w:szCs w:val="22"/>
        </w:rPr>
      </w:pPr>
      <w:r>
        <w:rPr>
          <w:b/>
          <w:bCs/>
          <w:sz w:val="22"/>
          <w:szCs w:val="22"/>
        </w:rPr>
        <w:t>Moneda de presentación</w:t>
      </w:r>
    </w:p>
    <w:p w:rsidR="00510B05" w:rsidRDefault="00510B05" w:rsidP="00510B05">
      <w:pPr>
        <w:autoSpaceDE w:val="0"/>
        <w:autoSpaceDN w:val="0"/>
        <w:adjustRightInd w:val="0"/>
        <w:ind w:left="720"/>
        <w:jc w:val="both"/>
        <w:rPr>
          <w:b/>
          <w:bCs/>
          <w:sz w:val="22"/>
          <w:szCs w:val="22"/>
        </w:rPr>
      </w:pPr>
    </w:p>
    <w:p w:rsidR="001454BE" w:rsidRDefault="001454BE" w:rsidP="00510B05">
      <w:pPr>
        <w:autoSpaceDE w:val="0"/>
        <w:autoSpaceDN w:val="0"/>
        <w:adjustRightInd w:val="0"/>
        <w:jc w:val="both"/>
        <w:rPr>
          <w:sz w:val="22"/>
          <w:szCs w:val="22"/>
        </w:rPr>
      </w:pPr>
      <w:r>
        <w:rPr>
          <w:sz w:val="22"/>
          <w:szCs w:val="22"/>
        </w:rPr>
        <w:t>De acuerdo con la normativa legal vigente en materia contable, las cuentas anuales se presentan expresadas en euros.</w:t>
      </w:r>
    </w:p>
    <w:p w:rsidR="00510B05" w:rsidRDefault="00510B05" w:rsidP="00510B05">
      <w:pPr>
        <w:autoSpaceDE w:val="0"/>
        <w:autoSpaceDN w:val="0"/>
        <w:adjustRightInd w:val="0"/>
        <w:jc w:val="both"/>
        <w:rPr>
          <w:sz w:val="22"/>
          <w:szCs w:val="22"/>
        </w:rPr>
      </w:pPr>
    </w:p>
    <w:p w:rsidR="001454BE" w:rsidRDefault="001454BE" w:rsidP="00510B05">
      <w:pPr>
        <w:numPr>
          <w:ilvl w:val="0"/>
          <w:numId w:val="2"/>
        </w:numPr>
        <w:autoSpaceDE w:val="0"/>
        <w:autoSpaceDN w:val="0"/>
        <w:adjustRightInd w:val="0"/>
        <w:jc w:val="both"/>
        <w:rPr>
          <w:b/>
          <w:bCs/>
          <w:sz w:val="22"/>
          <w:szCs w:val="22"/>
        </w:rPr>
      </w:pPr>
      <w:r>
        <w:rPr>
          <w:b/>
          <w:bCs/>
          <w:sz w:val="22"/>
          <w:szCs w:val="22"/>
        </w:rPr>
        <w:t>Aspectos críticos de la Valoración y Estimación de la Incertidumbre</w:t>
      </w:r>
    </w:p>
    <w:p w:rsidR="00510B05" w:rsidRDefault="00510B05" w:rsidP="00510B05">
      <w:pPr>
        <w:autoSpaceDE w:val="0"/>
        <w:autoSpaceDN w:val="0"/>
        <w:adjustRightInd w:val="0"/>
        <w:ind w:left="720"/>
        <w:jc w:val="both"/>
        <w:rPr>
          <w:b/>
          <w:bCs/>
          <w:sz w:val="22"/>
          <w:szCs w:val="22"/>
        </w:rPr>
      </w:pPr>
    </w:p>
    <w:p w:rsidR="001454BE" w:rsidRDefault="001454BE" w:rsidP="00510B05">
      <w:pPr>
        <w:autoSpaceDE w:val="0"/>
        <w:autoSpaceDN w:val="0"/>
        <w:adjustRightInd w:val="0"/>
        <w:jc w:val="both"/>
        <w:rPr>
          <w:sz w:val="22"/>
          <w:szCs w:val="22"/>
        </w:rPr>
      </w:pPr>
      <w:r>
        <w:rPr>
          <w:sz w:val="22"/>
          <w:szCs w:val="22"/>
        </w:rPr>
        <w:t>No existen incertidumbres significativas ni aspectos acerca del futuro que puedan llevar asociado un riesgo importante que pueda suponer cambios significativos en el valor de los activos y pasivos en el ejercicio siguiente.</w:t>
      </w:r>
    </w:p>
    <w:p w:rsidR="00510B05" w:rsidRDefault="00510B05" w:rsidP="00510B05">
      <w:pPr>
        <w:autoSpaceDE w:val="0"/>
        <w:autoSpaceDN w:val="0"/>
        <w:adjustRightInd w:val="0"/>
        <w:jc w:val="both"/>
        <w:rPr>
          <w:sz w:val="22"/>
          <w:szCs w:val="22"/>
        </w:rPr>
      </w:pPr>
    </w:p>
    <w:p w:rsidR="001454BE" w:rsidRDefault="001454BE" w:rsidP="00510B05">
      <w:pPr>
        <w:numPr>
          <w:ilvl w:val="0"/>
          <w:numId w:val="2"/>
        </w:numPr>
        <w:autoSpaceDE w:val="0"/>
        <w:autoSpaceDN w:val="0"/>
        <w:adjustRightInd w:val="0"/>
        <w:jc w:val="both"/>
        <w:rPr>
          <w:b/>
          <w:bCs/>
          <w:sz w:val="22"/>
          <w:szCs w:val="22"/>
        </w:rPr>
      </w:pPr>
      <w:r>
        <w:rPr>
          <w:b/>
          <w:bCs/>
          <w:sz w:val="22"/>
          <w:szCs w:val="22"/>
        </w:rPr>
        <w:lastRenderedPageBreak/>
        <w:t>Comparación de la Información</w:t>
      </w:r>
    </w:p>
    <w:p w:rsidR="00510B05" w:rsidRDefault="00510B05" w:rsidP="00510B05">
      <w:pPr>
        <w:autoSpaceDE w:val="0"/>
        <w:autoSpaceDN w:val="0"/>
        <w:adjustRightInd w:val="0"/>
        <w:ind w:left="720"/>
        <w:jc w:val="both"/>
        <w:rPr>
          <w:b/>
          <w:bCs/>
          <w:sz w:val="22"/>
          <w:szCs w:val="22"/>
        </w:rPr>
      </w:pPr>
    </w:p>
    <w:p w:rsidR="001454BE" w:rsidRDefault="001454BE" w:rsidP="00510B05">
      <w:pPr>
        <w:autoSpaceDE w:val="0"/>
        <w:autoSpaceDN w:val="0"/>
        <w:adjustRightInd w:val="0"/>
        <w:jc w:val="both"/>
        <w:rPr>
          <w:sz w:val="22"/>
          <w:szCs w:val="22"/>
        </w:rPr>
      </w:pPr>
      <w:r>
        <w:rPr>
          <w:sz w:val="22"/>
          <w:szCs w:val="22"/>
        </w:rPr>
        <w:t>De acuerdo con la legislación vigente, se presentan a efectos comparativos, con cada una de las partidas del balance de situación, de la cuenta de pérdidas y ganancias, del estado de cambios del patrimonio neto y de la memoria, además de las cifras del ejercicio 201</w:t>
      </w:r>
      <w:r w:rsidR="00791BCF">
        <w:rPr>
          <w:sz w:val="22"/>
          <w:szCs w:val="22"/>
        </w:rPr>
        <w:t>4</w:t>
      </w:r>
      <w:r>
        <w:rPr>
          <w:sz w:val="22"/>
          <w:szCs w:val="22"/>
        </w:rPr>
        <w:t>, las correspondientes al ejercicio 201</w:t>
      </w:r>
      <w:r w:rsidR="00791BCF">
        <w:rPr>
          <w:sz w:val="22"/>
          <w:szCs w:val="22"/>
        </w:rPr>
        <w:t>3</w:t>
      </w:r>
      <w:r>
        <w:rPr>
          <w:sz w:val="22"/>
          <w:szCs w:val="22"/>
        </w:rPr>
        <w:t>. Las partidas de ambos ejercicios son comparables y homogéneas en todos sus aspectos significativos.</w:t>
      </w:r>
    </w:p>
    <w:p w:rsidR="00510B05" w:rsidRDefault="00510B05" w:rsidP="00510B05">
      <w:pPr>
        <w:autoSpaceDE w:val="0"/>
        <w:autoSpaceDN w:val="0"/>
        <w:adjustRightInd w:val="0"/>
        <w:jc w:val="both"/>
        <w:rPr>
          <w:sz w:val="22"/>
          <w:szCs w:val="22"/>
        </w:rPr>
      </w:pPr>
    </w:p>
    <w:p w:rsidR="001454BE" w:rsidRDefault="001454BE" w:rsidP="00510B05">
      <w:pPr>
        <w:numPr>
          <w:ilvl w:val="0"/>
          <w:numId w:val="2"/>
        </w:numPr>
        <w:autoSpaceDE w:val="0"/>
        <w:autoSpaceDN w:val="0"/>
        <w:adjustRightInd w:val="0"/>
        <w:jc w:val="both"/>
        <w:rPr>
          <w:b/>
          <w:bCs/>
          <w:sz w:val="22"/>
          <w:szCs w:val="22"/>
        </w:rPr>
      </w:pPr>
      <w:r>
        <w:rPr>
          <w:b/>
          <w:bCs/>
          <w:sz w:val="22"/>
          <w:szCs w:val="22"/>
        </w:rPr>
        <w:t>Cambios en criterios contables</w:t>
      </w:r>
    </w:p>
    <w:p w:rsidR="00510B05" w:rsidRDefault="00510B05" w:rsidP="00510B05">
      <w:pPr>
        <w:autoSpaceDE w:val="0"/>
        <w:autoSpaceDN w:val="0"/>
        <w:adjustRightInd w:val="0"/>
        <w:ind w:left="720"/>
        <w:jc w:val="both"/>
        <w:rPr>
          <w:b/>
          <w:bCs/>
          <w:sz w:val="22"/>
          <w:szCs w:val="22"/>
        </w:rPr>
      </w:pPr>
    </w:p>
    <w:p w:rsidR="001454BE" w:rsidRDefault="001454BE" w:rsidP="00510B05">
      <w:pPr>
        <w:autoSpaceDE w:val="0"/>
        <w:autoSpaceDN w:val="0"/>
        <w:adjustRightInd w:val="0"/>
        <w:jc w:val="both"/>
        <w:rPr>
          <w:sz w:val="22"/>
          <w:szCs w:val="22"/>
        </w:rPr>
      </w:pPr>
      <w:r>
        <w:rPr>
          <w:sz w:val="22"/>
          <w:szCs w:val="22"/>
        </w:rPr>
        <w:t>La aplicación de los nuevos criterios contables recogidos en el Real Decreto 1159/2010 no ha comportado cambios significativos en la valoración o presentación de las partidas que comprenden los distintos estados de las cuentas anuales.</w:t>
      </w:r>
    </w:p>
    <w:p w:rsidR="00510B05" w:rsidRDefault="00510B05" w:rsidP="00510B05">
      <w:pPr>
        <w:autoSpaceDE w:val="0"/>
        <w:autoSpaceDN w:val="0"/>
        <w:adjustRightInd w:val="0"/>
        <w:jc w:val="both"/>
        <w:rPr>
          <w:sz w:val="22"/>
          <w:szCs w:val="22"/>
        </w:rPr>
      </w:pPr>
    </w:p>
    <w:p w:rsidR="001454BE" w:rsidRDefault="001454BE" w:rsidP="00510B05">
      <w:pPr>
        <w:numPr>
          <w:ilvl w:val="0"/>
          <w:numId w:val="2"/>
        </w:numPr>
        <w:autoSpaceDE w:val="0"/>
        <w:autoSpaceDN w:val="0"/>
        <w:adjustRightInd w:val="0"/>
        <w:jc w:val="both"/>
        <w:rPr>
          <w:b/>
          <w:bCs/>
          <w:sz w:val="22"/>
          <w:szCs w:val="22"/>
        </w:rPr>
      </w:pPr>
      <w:r>
        <w:rPr>
          <w:b/>
          <w:bCs/>
          <w:sz w:val="22"/>
          <w:szCs w:val="22"/>
        </w:rPr>
        <w:t>Responsabilidad de la Información y Estimaciones realizadas</w:t>
      </w:r>
    </w:p>
    <w:p w:rsidR="00510B05" w:rsidRDefault="00510B05" w:rsidP="00510B05">
      <w:pPr>
        <w:autoSpaceDE w:val="0"/>
        <w:autoSpaceDN w:val="0"/>
        <w:adjustRightInd w:val="0"/>
        <w:ind w:left="720"/>
        <w:jc w:val="both"/>
        <w:rPr>
          <w:b/>
          <w:bCs/>
          <w:sz w:val="22"/>
          <w:szCs w:val="22"/>
        </w:rPr>
      </w:pPr>
    </w:p>
    <w:p w:rsidR="001454BE" w:rsidRDefault="001454BE" w:rsidP="00510B05">
      <w:pPr>
        <w:autoSpaceDE w:val="0"/>
        <w:autoSpaceDN w:val="0"/>
        <w:adjustRightInd w:val="0"/>
        <w:jc w:val="both"/>
        <w:rPr>
          <w:sz w:val="22"/>
          <w:szCs w:val="22"/>
        </w:rPr>
      </w:pPr>
      <w:r>
        <w:rPr>
          <w:sz w:val="22"/>
          <w:szCs w:val="22"/>
        </w:rPr>
        <w:t>La información contenida en estas cuentas anuales es responsabilidad la Junta Directiva de la Federación. En las presentes cuentas anuales se han utilizado estimaciones realizadas para valorar algunos de los activos, pasivos, ingresos, gastos y compromisos que figuran registrados en las mismas, y que, básicamente, se refieren a la evaluación de las pérdidas por deterioro de determinados activos, a la vida útil de los activos no corrientes y a la probabilidad de ocurrencia</w:t>
      </w:r>
      <w:r w:rsidR="00D60061">
        <w:rPr>
          <w:sz w:val="22"/>
          <w:szCs w:val="22"/>
        </w:rPr>
        <w:t xml:space="preserve"> </w:t>
      </w:r>
      <w:r>
        <w:rPr>
          <w:sz w:val="22"/>
          <w:szCs w:val="22"/>
        </w:rPr>
        <w:t>de provisiones.</w:t>
      </w:r>
    </w:p>
    <w:p w:rsidR="00645E27" w:rsidRDefault="001454BE" w:rsidP="00510B05">
      <w:pPr>
        <w:autoSpaceDE w:val="0"/>
        <w:autoSpaceDN w:val="0"/>
        <w:adjustRightInd w:val="0"/>
        <w:jc w:val="both"/>
        <w:rPr>
          <w:sz w:val="22"/>
          <w:szCs w:val="22"/>
        </w:rPr>
      </w:pPr>
      <w:r>
        <w:rPr>
          <w:sz w:val="22"/>
          <w:szCs w:val="22"/>
        </w:rPr>
        <w:t>A pesar de que estas estimaciones se realizaron en función de la mejor información</w:t>
      </w:r>
      <w:r w:rsidR="00D60061">
        <w:rPr>
          <w:sz w:val="22"/>
          <w:szCs w:val="22"/>
        </w:rPr>
        <w:t xml:space="preserve"> </w:t>
      </w:r>
      <w:r>
        <w:rPr>
          <w:sz w:val="22"/>
          <w:szCs w:val="22"/>
        </w:rPr>
        <w:t>disponible en la fecha de formulación de las cuentas anuales, es posible que acontecimientos</w:t>
      </w:r>
      <w:r w:rsidR="00D60061">
        <w:rPr>
          <w:sz w:val="22"/>
          <w:szCs w:val="22"/>
        </w:rPr>
        <w:t xml:space="preserve"> </w:t>
      </w:r>
      <w:r>
        <w:rPr>
          <w:sz w:val="22"/>
          <w:szCs w:val="22"/>
        </w:rPr>
        <w:t>que pudieran tener lugar en el futuro obliguen a modificarlas en próximos ejercicios. En tal</w:t>
      </w:r>
      <w:r w:rsidR="00D60061">
        <w:rPr>
          <w:sz w:val="22"/>
          <w:szCs w:val="22"/>
        </w:rPr>
        <w:t xml:space="preserve"> </w:t>
      </w:r>
      <w:r>
        <w:rPr>
          <w:sz w:val="22"/>
          <w:szCs w:val="22"/>
        </w:rPr>
        <w:t>caso, ello se haría de forma prospectiva, reconociendo los efectos del cambio de estimación en</w:t>
      </w:r>
      <w:r w:rsidR="00D60061">
        <w:rPr>
          <w:sz w:val="22"/>
          <w:szCs w:val="22"/>
        </w:rPr>
        <w:t xml:space="preserve"> </w:t>
      </w:r>
      <w:r>
        <w:rPr>
          <w:sz w:val="22"/>
          <w:szCs w:val="22"/>
        </w:rPr>
        <w:t>las correspondientes cuentas de pérdidas y ganancias.</w:t>
      </w:r>
    </w:p>
    <w:p w:rsidR="00645E27" w:rsidRDefault="00645E27" w:rsidP="00510B05">
      <w:pPr>
        <w:autoSpaceDE w:val="0"/>
        <w:autoSpaceDN w:val="0"/>
        <w:adjustRightInd w:val="0"/>
        <w:jc w:val="both"/>
        <w:rPr>
          <w:sz w:val="22"/>
          <w:szCs w:val="22"/>
        </w:rPr>
      </w:pPr>
    </w:p>
    <w:p w:rsidR="00D60061" w:rsidRDefault="00D60061" w:rsidP="00510B05">
      <w:pPr>
        <w:autoSpaceDE w:val="0"/>
        <w:autoSpaceDN w:val="0"/>
        <w:adjustRightInd w:val="0"/>
        <w:jc w:val="both"/>
        <w:rPr>
          <w:b/>
          <w:bCs/>
          <w:sz w:val="22"/>
          <w:szCs w:val="22"/>
        </w:rPr>
      </w:pPr>
      <w:r>
        <w:rPr>
          <w:b/>
          <w:bCs/>
          <w:sz w:val="22"/>
          <w:szCs w:val="22"/>
        </w:rPr>
        <w:t>NOTA 3. APLICACIÓN DE RESULTADOS</w:t>
      </w:r>
    </w:p>
    <w:p w:rsidR="00510B05" w:rsidRDefault="00510B05" w:rsidP="00510B05">
      <w:pPr>
        <w:autoSpaceDE w:val="0"/>
        <w:autoSpaceDN w:val="0"/>
        <w:adjustRightInd w:val="0"/>
        <w:jc w:val="both"/>
        <w:rPr>
          <w:b/>
          <w:bCs/>
          <w:sz w:val="22"/>
          <w:szCs w:val="22"/>
        </w:rPr>
      </w:pPr>
    </w:p>
    <w:p w:rsidR="00D60061" w:rsidRDefault="00D60061" w:rsidP="00510B05">
      <w:pPr>
        <w:autoSpaceDE w:val="0"/>
        <w:autoSpaceDN w:val="0"/>
        <w:adjustRightInd w:val="0"/>
        <w:jc w:val="both"/>
        <w:rPr>
          <w:sz w:val="22"/>
          <w:szCs w:val="22"/>
        </w:rPr>
      </w:pPr>
      <w:r>
        <w:rPr>
          <w:sz w:val="22"/>
          <w:szCs w:val="22"/>
        </w:rPr>
        <w:t>Las cu</w:t>
      </w:r>
      <w:r w:rsidR="00C94ED7">
        <w:rPr>
          <w:sz w:val="22"/>
          <w:szCs w:val="22"/>
        </w:rPr>
        <w:t>entas anuales del ejercicio 2014</w:t>
      </w:r>
      <w:r>
        <w:rPr>
          <w:sz w:val="22"/>
          <w:szCs w:val="22"/>
        </w:rPr>
        <w:t>, que</w:t>
      </w:r>
      <w:r w:rsidR="00C94ED7">
        <w:rPr>
          <w:sz w:val="22"/>
          <w:szCs w:val="22"/>
        </w:rPr>
        <w:t xml:space="preserve"> arrojan un resultado de 6.000,77</w:t>
      </w:r>
      <w:r>
        <w:rPr>
          <w:sz w:val="22"/>
          <w:szCs w:val="22"/>
        </w:rPr>
        <w:t xml:space="preserve"> euros, se</w:t>
      </w:r>
      <w:r w:rsidR="00645E27">
        <w:rPr>
          <w:sz w:val="22"/>
          <w:szCs w:val="22"/>
        </w:rPr>
        <w:t xml:space="preserve"> </w:t>
      </w:r>
      <w:r>
        <w:rPr>
          <w:sz w:val="22"/>
          <w:szCs w:val="22"/>
        </w:rPr>
        <w:t>encuentran pendientes de aprobación por parte de la Asamblea General, no esperándose que se</w:t>
      </w:r>
      <w:r w:rsidR="00645E27">
        <w:rPr>
          <w:sz w:val="22"/>
          <w:szCs w:val="22"/>
        </w:rPr>
        <w:t xml:space="preserve"> </w:t>
      </w:r>
      <w:r>
        <w:rPr>
          <w:sz w:val="22"/>
          <w:szCs w:val="22"/>
        </w:rPr>
        <w:t>produzcan modificaciones a las mismas en dicho proceso de ratificación.</w:t>
      </w:r>
    </w:p>
    <w:p w:rsidR="00510B05" w:rsidRDefault="00510B05" w:rsidP="00510B05">
      <w:pPr>
        <w:autoSpaceDE w:val="0"/>
        <w:autoSpaceDN w:val="0"/>
        <w:adjustRightInd w:val="0"/>
        <w:jc w:val="both"/>
        <w:rPr>
          <w:sz w:val="22"/>
          <w:szCs w:val="22"/>
        </w:rPr>
      </w:pPr>
    </w:p>
    <w:p w:rsidR="00BC1291" w:rsidRDefault="00D60061" w:rsidP="00791BCF">
      <w:pPr>
        <w:autoSpaceDE w:val="0"/>
        <w:autoSpaceDN w:val="0"/>
        <w:adjustRightInd w:val="0"/>
        <w:jc w:val="both"/>
        <w:rPr>
          <w:sz w:val="22"/>
          <w:szCs w:val="22"/>
        </w:rPr>
      </w:pPr>
      <w:r>
        <w:rPr>
          <w:sz w:val="22"/>
          <w:szCs w:val="22"/>
        </w:rPr>
        <w:t>La propuesta de distribución del resultado del ejercicio 201</w:t>
      </w:r>
      <w:r w:rsidR="00791BCF">
        <w:rPr>
          <w:sz w:val="22"/>
          <w:szCs w:val="22"/>
        </w:rPr>
        <w:t>4</w:t>
      </w:r>
      <w:r>
        <w:rPr>
          <w:sz w:val="22"/>
          <w:szCs w:val="22"/>
        </w:rPr>
        <w:t xml:space="preserve"> que la Junta Directiva hará a</w:t>
      </w:r>
      <w:r w:rsidR="00791BCF">
        <w:rPr>
          <w:sz w:val="22"/>
          <w:szCs w:val="22"/>
        </w:rPr>
        <w:t xml:space="preserve"> </w:t>
      </w:r>
      <w:r>
        <w:rPr>
          <w:sz w:val="22"/>
          <w:szCs w:val="22"/>
        </w:rPr>
        <w:t>la Asamblea General, se indica a continuación:</w:t>
      </w:r>
    </w:p>
    <w:p w:rsidR="00791BCF" w:rsidRDefault="00791BCF" w:rsidP="00791BCF">
      <w:pPr>
        <w:autoSpaceDE w:val="0"/>
        <w:autoSpaceDN w:val="0"/>
        <w:adjustRightInd w:val="0"/>
        <w:jc w:val="both"/>
        <w:rPr>
          <w:sz w:val="22"/>
          <w:szCs w:val="22"/>
        </w:rPr>
      </w:pPr>
    </w:p>
    <w:tbl>
      <w:tblPr>
        <w:tblW w:w="0" w:type="auto"/>
        <w:tblCellSpacing w:w="20" w:type="dxa"/>
        <w:tblInd w:w="51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269"/>
        <w:gridCol w:w="1625"/>
        <w:gridCol w:w="1276"/>
      </w:tblGrid>
      <w:tr w:rsidR="00D60061" w:rsidTr="00AB6D74">
        <w:trPr>
          <w:trHeight w:val="286"/>
          <w:tblCellSpacing w:w="20" w:type="dxa"/>
        </w:trPr>
        <w:tc>
          <w:tcPr>
            <w:tcW w:w="3209" w:type="dxa"/>
            <w:shd w:val="clear" w:color="auto" w:fill="auto"/>
          </w:tcPr>
          <w:p w:rsidR="00D60061" w:rsidRDefault="00D60061" w:rsidP="00510B05">
            <w:pPr>
              <w:widowControl w:val="0"/>
              <w:autoSpaceDE w:val="0"/>
              <w:autoSpaceDN w:val="0"/>
              <w:adjustRightInd w:val="0"/>
              <w:jc w:val="both"/>
            </w:pPr>
            <w:r w:rsidRPr="00AB6D74">
              <w:rPr>
                <w:b/>
                <w:bCs/>
                <w:sz w:val="22"/>
                <w:szCs w:val="22"/>
              </w:rPr>
              <w:t>Concepto</w:t>
            </w:r>
          </w:p>
        </w:tc>
        <w:tc>
          <w:tcPr>
            <w:tcW w:w="1585" w:type="dxa"/>
            <w:shd w:val="clear" w:color="auto" w:fill="auto"/>
          </w:tcPr>
          <w:p w:rsidR="00D60061" w:rsidRDefault="00D60061" w:rsidP="00510B05">
            <w:pPr>
              <w:widowControl w:val="0"/>
              <w:autoSpaceDE w:val="0"/>
              <w:autoSpaceDN w:val="0"/>
              <w:adjustRightInd w:val="0"/>
              <w:jc w:val="both"/>
            </w:pPr>
            <w:r>
              <w:t>201</w:t>
            </w:r>
            <w:r w:rsidR="00791BCF">
              <w:t>4</w:t>
            </w:r>
          </w:p>
        </w:tc>
        <w:tc>
          <w:tcPr>
            <w:tcW w:w="1216" w:type="dxa"/>
            <w:shd w:val="clear" w:color="auto" w:fill="auto"/>
          </w:tcPr>
          <w:p w:rsidR="00D60061" w:rsidRDefault="00791BCF" w:rsidP="00510B05">
            <w:pPr>
              <w:widowControl w:val="0"/>
              <w:autoSpaceDE w:val="0"/>
              <w:autoSpaceDN w:val="0"/>
              <w:adjustRightInd w:val="0"/>
              <w:jc w:val="both"/>
            </w:pPr>
            <w:r>
              <w:t>2013</w:t>
            </w:r>
          </w:p>
        </w:tc>
      </w:tr>
      <w:tr w:rsidR="00791BCF" w:rsidTr="00AB6D74">
        <w:trPr>
          <w:trHeight w:val="1545"/>
          <w:tblCellSpacing w:w="20" w:type="dxa"/>
        </w:trPr>
        <w:tc>
          <w:tcPr>
            <w:tcW w:w="3209" w:type="dxa"/>
            <w:shd w:val="clear" w:color="auto" w:fill="auto"/>
          </w:tcPr>
          <w:p w:rsidR="00791BCF" w:rsidRPr="00AB6D74" w:rsidRDefault="00791BCF" w:rsidP="00510B05">
            <w:pPr>
              <w:autoSpaceDE w:val="0"/>
              <w:autoSpaceDN w:val="0"/>
              <w:adjustRightInd w:val="0"/>
              <w:jc w:val="both"/>
              <w:rPr>
                <w:b/>
                <w:bCs/>
                <w:sz w:val="22"/>
                <w:szCs w:val="22"/>
              </w:rPr>
            </w:pPr>
            <w:r w:rsidRPr="00AB6D74">
              <w:rPr>
                <w:b/>
                <w:bCs/>
                <w:sz w:val="22"/>
                <w:szCs w:val="22"/>
              </w:rPr>
              <w:t>Base de reparto:</w:t>
            </w:r>
          </w:p>
          <w:p w:rsidR="00791BCF" w:rsidRPr="00AB6D74" w:rsidRDefault="00791BCF" w:rsidP="00510B05">
            <w:pPr>
              <w:autoSpaceDE w:val="0"/>
              <w:autoSpaceDN w:val="0"/>
              <w:adjustRightInd w:val="0"/>
              <w:jc w:val="both"/>
              <w:rPr>
                <w:sz w:val="22"/>
                <w:szCs w:val="22"/>
              </w:rPr>
            </w:pPr>
            <w:r w:rsidRPr="00AB6D74">
              <w:rPr>
                <w:sz w:val="22"/>
                <w:szCs w:val="22"/>
              </w:rPr>
              <w:t xml:space="preserve">Resultado del ejercicio </w:t>
            </w:r>
          </w:p>
          <w:p w:rsidR="00791BCF" w:rsidRPr="00AB6D74" w:rsidRDefault="00791BCF" w:rsidP="00510B05">
            <w:pPr>
              <w:autoSpaceDE w:val="0"/>
              <w:autoSpaceDN w:val="0"/>
              <w:adjustRightInd w:val="0"/>
              <w:jc w:val="both"/>
              <w:rPr>
                <w:b/>
                <w:bCs/>
                <w:sz w:val="22"/>
                <w:szCs w:val="22"/>
              </w:rPr>
            </w:pPr>
            <w:r w:rsidRPr="00AB6D74">
              <w:rPr>
                <w:b/>
                <w:bCs/>
                <w:sz w:val="22"/>
                <w:szCs w:val="22"/>
              </w:rPr>
              <w:t xml:space="preserve">Total </w:t>
            </w:r>
          </w:p>
          <w:p w:rsidR="00791BCF" w:rsidRPr="00AB6D74" w:rsidRDefault="00791BCF" w:rsidP="00510B05">
            <w:pPr>
              <w:autoSpaceDE w:val="0"/>
              <w:autoSpaceDN w:val="0"/>
              <w:adjustRightInd w:val="0"/>
              <w:jc w:val="both"/>
              <w:rPr>
                <w:b/>
                <w:bCs/>
                <w:sz w:val="22"/>
                <w:szCs w:val="22"/>
              </w:rPr>
            </w:pPr>
            <w:r w:rsidRPr="00AB6D74">
              <w:rPr>
                <w:b/>
                <w:bCs/>
                <w:sz w:val="22"/>
                <w:szCs w:val="22"/>
              </w:rPr>
              <w:t>Distribución</w:t>
            </w:r>
          </w:p>
          <w:p w:rsidR="00791BCF" w:rsidRPr="00AB6D74" w:rsidRDefault="00791BCF" w:rsidP="00510B05">
            <w:pPr>
              <w:autoSpaceDE w:val="0"/>
              <w:autoSpaceDN w:val="0"/>
              <w:adjustRightInd w:val="0"/>
              <w:jc w:val="both"/>
              <w:rPr>
                <w:sz w:val="22"/>
                <w:szCs w:val="22"/>
              </w:rPr>
            </w:pPr>
            <w:r w:rsidRPr="00AB6D74">
              <w:rPr>
                <w:sz w:val="22"/>
                <w:szCs w:val="22"/>
              </w:rPr>
              <w:t xml:space="preserve">A Fondo social </w:t>
            </w:r>
          </w:p>
          <w:p w:rsidR="00791BCF" w:rsidRDefault="00791BCF" w:rsidP="00510B05">
            <w:pPr>
              <w:widowControl w:val="0"/>
              <w:autoSpaceDE w:val="0"/>
              <w:autoSpaceDN w:val="0"/>
              <w:adjustRightInd w:val="0"/>
              <w:jc w:val="both"/>
            </w:pPr>
            <w:r w:rsidRPr="00AB6D74">
              <w:rPr>
                <w:b/>
                <w:bCs/>
                <w:sz w:val="22"/>
                <w:szCs w:val="22"/>
              </w:rPr>
              <w:t>Total</w:t>
            </w:r>
          </w:p>
        </w:tc>
        <w:tc>
          <w:tcPr>
            <w:tcW w:w="1585" w:type="dxa"/>
            <w:shd w:val="clear" w:color="auto" w:fill="auto"/>
          </w:tcPr>
          <w:p w:rsidR="00791BCF" w:rsidRDefault="00791BCF" w:rsidP="00510B05">
            <w:pPr>
              <w:widowControl w:val="0"/>
              <w:autoSpaceDE w:val="0"/>
              <w:autoSpaceDN w:val="0"/>
              <w:adjustRightInd w:val="0"/>
              <w:jc w:val="both"/>
            </w:pPr>
          </w:p>
          <w:p w:rsidR="00791BCF" w:rsidRDefault="00791BCF" w:rsidP="00510B05">
            <w:pPr>
              <w:widowControl w:val="0"/>
              <w:autoSpaceDE w:val="0"/>
              <w:autoSpaceDN w:val="0"/>
              <w:adjustRightInd w:val="0"/>
              <w:jc w:val="both"/>
            </w:pPr>
            <w:r>
              <w:t>6.</w:t>
            </w:r>
            <w:r w:rsidR="000A6BF7">
              <w:t>000</w:t>
            </w:r>
            <w:r>
              <w:t>,</w:t>
            </w:r>
            <w:r w:rsidR="000A6BF7">
              <w:t>77</w:t>
            </w:r>
          </w:p>
          <w:p w:rsidR="00791BCF" w:rsidRDefault="00791BCF" w:rsidP="00510B05">
            <w:pPr>
              <w:widowControl w:val="0"/>
              <w:autoSpaceDE w:val="0"/>
              <w:autoSpaceDN w:val="0"/>
              <w:adjustRightInd w:val="0"/>
              <w:jc w:val="both"/>
            </w:pPr>
            <w:r>
              <w:t>6.</w:t>
            </w:r>
            <w:r w:rsidR="000A6BF7">
              <w:t>000</w:t>
            </w:r>
            <w:r>
              <w:t>,</w:t>
            </w:r>
            <w:r w:rsidR="000A6BF7">
              <w:t>77</w:t>
            </w:r>
          </w:p>
          <w:p w:rsidR="000A6BF7" w:rsidRDefault="000A6BF7" w:rsidP="00510B05">
            <w:pPr>
              <w:widowControl w:val="0"/>
              <w:autoSpaceDE w:val="0"/>
              <w:autoSpaceDN w:val="0"/>
              <w:adjustRightInd w:val="0"/>
              <w:jc w:val="both"/>
            </w:pPr>
          </w:p>
          <w:p w:rsidR="00791BCF" w:rsidRDefault="00791BCF" w:rsidP="00510B05">
            <w:pPr>
              <w:widowControl w:val="0"/>
              <w:autoSpaceDE w:val="0"/>
              <w:autoSpaceDN w:val="0"/>
              <w:adjustRightInd w:val="0"/>
              <w:jc w:val="both"/>
            </w:pPr>
            <w:r>
              <w:t>6.</w:t>
            </w:r>
            <w:r w:rsidR="000A6BF7">
              <w:t>000</w:t>
            </w:r>
            <w:r>
              <w:t>,</w:t>
            </w:r>
            <w:r w:rsidR="000A6BF7">
              <w:t>77</w:t>
            </w:r>
          </w:p>
        </w:tc>
        <w:tc>
          <w:tcPr>
            <w:tcW w:w="1216" w:type="dxa"/>
            <w:shd w:val="clear" w:color="auto" w:fill="auto"/>
          </w:tcPr>
          <w:p w:rsidR="00791BCF" w:rsidRDefault="00791BCF" w:rsidP="00791BCF">
            <w:pPr>
              <w:widowControl w:val="0"/>
              <w:autoSpaceDE w:val="0"/>
              <w:autoSpaceDN w:val="0"/>
              <w:adjustRightInd w:val="0"/>
              <w:jc w:val="both"/>
            </w:pPr>
          </w:p>
          <w:p w:rsidR="00791BCF" w:rsidRDefault="00791BCF" w:rsidP="00791BCF">
            <w:pPr>
              <w:widowControl w:val="0"/>
              <w:autoSpaceDE w:val="0"/>
              <w:autoSpaceDN w:val="0"/>
              <w:adjustRightInd w:val="0"/>
              <w:jc w:val="both"/>
            </w:pPr>
            <w:r>
              <w:t>-2.610,95</w:t>
            </w:r>
          </w:p>
          <w:p w:rsidR="00791BCF" w:rsidRDefault="00791BCF" w:rsidP="00791BCF">
            <w:pPr>
              <w:widowControl w:val="0"/>
              <w:autoSpaceDE w:val="0"/>
              <w:autoSpaceDN w:val="0"/>
              <w:adjustRightInd w:val="0"/>
              <w:jc w:val="both"/>
            </w:pPr>
            <w:r>
              <w:t>-2.610,95</w:t>
            </w:r>
          </w:p>
          <w:p w:rsidR="00791BCF" w:rsidRDefault="00791BCF" w:rsidP="00791BCF">
            <w:pPr>
              <w:widowControl w:val="0"/>
              <w:autoSpaceDE w:val="0"/>
              <w:autoSpaceDN w:val="0"/>
              <w:adjustRightInd w:val="0"/>
              <w:jc w:val="both"/>
            </w:pPr>
          </w:p>
          <w:p w:rsidR="00791BCF" w:rsidRDefault="00791BCF" w:rsidP="00791BCF">
            <w:pPr>
              <w:widowControl w:val="0"/>
              <w:autoSpaceDE w:val="0"/>
              <w:autoSpaceDN w:val="0"/>
              <w:adjustRightInd w:val="0"/>
              <w:jc w:val="both"/>
            </w:pPr>
            <w:r>
              <w:t>-2.610,95</w:t>
            </w:r>
          </w:p>
        </w:tc>
      </w:tr>
    </w:tbl>
    <w:p w:rsidR="00645E27" w:rsidRDefault="00645E27" w:rsidP="00510B05">
      <w:pPr>
        <w:autoSpaceDE w:val="0"/>
        <w:autoSpaceDN w:val="0"/>
        <w:adjustRightInd w:val="0"/>
        <w:jc w:val="both"/>
        <w:rPr>
          <w:b/>
          <w:bCs/>
          <w:sz w:val="22"/>
          <w:szCs w:val="22"/>
        </w:rPr>
      </w:pPr>
    </w:p>
    <w:p w:rsidR="00510B05" w:rsidRDefault="00510B05" w:rsidP="00510B05">
      <w:pPr>
        <w:autoSpaceDE w:val="0"/>
        <w:autoSpaceDN w:val="0"/>
        <w:adjustRightInd w:val="0"/>
        <w:jc w:val="both"/>
        <w:rPr>
          <w:b/>
          <w:bCs/>
          <w:sz w:val="22"/>
          <w:szCs w:val="22"/>
        </w:rPr>
      </w:pPr>
    </w:p>
    <w:p w:rsidR="00D60061" w:rsidRDefault="00D60061" w:rsidP="00510B05">
      <w:pPr>
        <w:autoSpaceDE w:val="0"/>
        <w:autoSpaceDN w:val="0"/>
        <w:adjustRightInd w:val="0"/>
        <w:jc w:val="both"/>
        <w:rPr>
          <w:b/>
          <w:bCs/>
          <w:sz w:val="22"/>
          <w:szCs w:val="22"/>
        </w:rPr>
      </w:pPr>
      <w:r>
        <w:rPr>
          <w:b/>
          <w:bCs/>
          <w:sz w:val="22"/>
          <w:szCs w:val="22"/>
        </w:rPr>
        <w:t>NOTA 4. NORMAS DE REGISTRO Y VALORACIÓN</w:t>
      </w:r>
    </w:p>
    <w:p w:rsidR="00510B05" w:rsidRDefault="00510B05" w:rsidP="00510B05">
      <w:pPr>
        <w:autoSpaceDE w:val="0"/>
        <w:autoSpaceDN w:val="0"/>
        <w:adjustRightInd w:val="0"/>
        <w:jc w:val="both"/>
        <w:rPr>
          <w:b/>
          <w:bCs/>
          <w:sz w:val="22"/>
          <w:szCs w:val="22"/>
        </w:rPr>
      </w:pPr>
    </w:p>
    <w:p w:rsidR="00D60061" w:rsidRDefault="00D60061" w:rsidP="00510B05">
      <w:pPr>
        <w:autoSpaceDE w:val="0"/>
        <w:autoSpaceDN w:val="0"/>
        <w:adjustRightInd w:val="0"/>
        <w:jc w:val="both"/>
        <w:rPr>
          <w:sz w:val="22"/>
          <w:szCs w:val="22"/>
        </w:rPr>
      </w:pPr>
      <w:r>
        <w:rPr>
          <w:sz w:val="22"/>
          <w:szCs w:val="22"/>
        </w:rPr>
        <w:t>Los principales criterios contables aplicados por la Federación en la elaboración de las cuentas anuales del ejercicio 201</w:t>
      </w:r>
      <w:r w:rsidR="00791BCF">
        <w:rPr>
          <w:sz w:val="22"/>
          <w:szCs w:val="22"/>
        </w:rPr>
        <w:t>4</w:t>
      </w:r>
      <w:r>
        <w:rPr>
          <w:sz w:val="22"/>
          <w:szCs w:val="22"/>
        </w:rPr>
        <w:t>, son los siguientes:</w:t>
      </w:r>
    </w:p>
    <w:p w:rsidR="00510B05" w:rsidRDefault="00510B05" w:rsidP="00510B05">
      <w:pPr>
        <w:autoSpaceDE w:val="0"/>
        <w:autoSpaceDN w:val="0"/>
        <w:adjustRightInd w:val="0"/>
        <w:jc w:val="both"/>
        <w:rPr>
          <w:sz w:val="22"/>
          <w:szCs w:val="22"/>
        </w:rPr>
      </w:pPr>
    </w:p>
    <w:p w:rsidR="00973CFD" w:rsidRDefault="00973CFD" w:rsidP="00510B05">
      <w:pPr>
        <w:autoSpaceDE w:val="0"/>
        <w:autoSpaceDN w:val="0"/>
        <w:adjustRightInd w:val="0"/>
        <w:jc w:val="both"/>
        <w:rPr>
          <w:b/>
          <w:bCs/>
          <w:sz w:val="22"/>
          <w:szCs w:val="22"/>
        </w:rPr>
      </w:pPr>
      <w:r>
        <w:rPr>
          <w:b/>
          <w:bCs/>
          <w:sz w:val="22"/>
          <w:szCs w:val="22"/>
        </w:rPr>
        <w:t>a) Inmovilizaciones Intangibles</w:t>
      </w:r>
    </w:p>
    <w:p w:rsidR="00973CFD" w:rsidRDefault="00973CFD" w:rsidP="00510B05">
      <w:pPr>
        <w:autoSpaceDE w:val="0"/>
        <w:autoSpaceDN w:val="0"/>
        <w:adjustRightInd w:val="0"/>
        <w:jc w:val="both"/>
        <w:rPr>
          <w:b/>
          <w:bCs/>
          <w:sz w:val="22"/>
          <w:szCs w:val="22"/>
        </w:rPr>
      </w:pPr>
      <w:r>
        <w:rPr>
          <w:sz w:val="22"/>
          <w:szCs w:val="22"/>
        </w:rPr>
        <w:t>La Federación no tiene inmovilizado intangible al cierre del ejercicio</w:t>
      </w:r>
    </w:p>
    <w:p w:rsidR="00D60061" w:rsidRDefault="00973CFD" w:rsidP="00510B05">
      <w:pPr>
        <w:autoSpaceDE w:val="0"/>
        <w:autoSpaceDN w:val="0"/>
        <w:adjustRightInd w:val="0"/>
        <w:jc w:val="both"/>
        <w:rPr>
          <w:b/>
          <w:bCs/>
          <w:sz w:val="22"/>
          <w:szCs w:val="22"/>
        </w:rPr>
      </w:pPr>
      <w:r>
        <w:rPr>
          <w:b/>
          <w:bCs/>
          <w:sz w:val="22"/>
          <w:szCs w:val="22"/>
        </w:rPr>
        <w:t>b</w:t>
      </w:r>
      <w:r w:rsidR="00D60061">
        <w:rPr>
          <w:b/>
          <w:bCs/>
          <w:sz w:val="22"/>
          <w:szCs w:val="22"/>
        </w:rPr>
        <w:t>) Inmovilizaciones Materiales</w:t>
      </w:r>
    </w:p>
    <w:p w:rsidR="00D60061" w:rsidRDefault="00D60061" w:rsidP="00510B05">
      <w:pPr>
        <w:autoSpaceDE w:val="0"/>
        <w:autoSpaceDN w:val="0"/>
        <w:adjustRightInd w:val="0"/>
        <w:jc w:val="both"/>
        <w:rPr>
          <w:sz w:val="22"/>
          <w:szCs w:val="22"/>
        </w:rPr>
      </w:pPr>
      <w:r>
        <w:rPr>
          <w:sz w:val="22"/>
          <w:szCs w:val="22"/>
        </w:rPr>
        <w:t>Los bienes incluidos en el inmovilizado material se valoran a su precio de adquisición o a su coste de producción que incluye, además del importe facturado después de deducir cualquier descuento o rebaja en el precio, todos los gastos adicionales y directamente relacionados que se produzcan hasta su puesta en funcionamiento.</w:t>
      </w:r>
    </w:p>
    <w:p w:rsidR="00D60061" w:rsidRDefault="00D60061" w:rsidP="00510B05">
      <w:pPr>
        <w:autoSpaceDE w:val="0"/>
        <w:autoSpaceDN w:val="0"/>
        <w:adjustRightInd w:val="0"/>
        <w:jc w:val="both"/>
        <w:rPr>
          <w:sz w:val="22"/>
          <w:szCs w:val="22"/>
        </w:rPr>
      </w:pPr>
      <w:r>
        <w:rPr>
          <w:sz w:val="22"/>
          <w:szCs w:val="22"/>
        </w:rPr>
        <w:t>Después del reconocimiento inicial, el inmovilizado material se valora por su coste menos la amortización acumulada y, en su caso, el importe acumulado de las correcciones por deterioro registradas.</w:t>
      </w:r>
    </w:p>
    <w:p w:rsidR="00D60061" w:rsidRPr="00D60061" w:rsidRDefault="00D60061" w:rsidP="00510B05">
      <w:pPr>
        <w:autoSpaceDE w:val="0"/>
        <w:autoSpaceDN w:val="0"/>
        <w:adjustRightInd w:val="0"/>
        <w:jc w:val="both"/>
        <w:rPr>
          <w:sz w:val="22"/>
          <w:szCs w:val="22"/>
        </w:rPr>
      </w:pPr>
      <w:r>
        <w:rPr>
          <w:sz w:val="22"/>
          <w:szCs w:val="22"/>
        </w:rPr>
        <w:t>En el presente ejercicio no se han reconocido “Pérdidas netas por deterioro” derivadas de los activos materiales.</w:t>
      </w:r>
    </w:p>
    <w:p w:rsidR="00B22E53" w:rsidRDefault="00D60061" w:rsidP="00510B05">
      <w:pPr>
        <w:autoSpaceDE w:val="0"/>
        <w:autoSpaceDN w:val="0"/>
        <w:adjustRightInd w:val="0"/>
        <w:jc w:val="both"/>
        <w:rPr>
          <w:sz w:val="22"/>
          <w:szCs w:val="22"/>
        </w:rPr>
      </w:pPr>
      <w:r>
        <w:rPr>
          <w:sz w:val="22"/>
          <w:szCs w:val="22"/>
        </w:rPr>
        <w:t>La dotación anual a la amortización se calcula por el método lineal en función de la vida útil de los diferentes bienes, la cual es como sigue:</w:t>
      </w:r>
    </w:p>
    <w:tbl>
      <w:tblPr>
        <w:tblpPr w:leftFromText="141" w:rightFromText="141" w:vertAnchor="text" w:horzAnchor="page" w:tblpX="1354" w:tblpY="168"/>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319"/>
        <w:gridCol w:w="2297"/>
        <w:gridCol w:w="2298"/>
      </w:tblGrid>
      <w:tr w:rsidR="00B22E53" w:rsidRPr="00AB6D74" w:rsidTr="00AB6D74">
        <w:trPr>
          <w:tblCellSpacing w:w="20" w:type="dxa"/>
        </w:trPr>
        <w:tc>
          <w:tcPr>
            <w:tcW w:w="2259" w:type="dxa"/>
            <w:shd w:val="clear" w:color="auto" w:fill="auto"/>
          </w:tcPr>
          <w:p w:rsidR="00B22E53" w:rsidRPr="00AB6D74" w:rsidRDefault="00B22E53" w:rsidP="00510B05">
            <w:pPr>
              <w:autoSpaceDE w:val="0"/>
              <w:autoSpaceDN w:val="0"/>
              <w:adjustRightInd w:val="0"/>
              <w:jc w:val="both"/>
              <w:rPr>
                <w:sz w:val="22"/>
                <w:szCs w:val="22"/>
              </w:rPr>
            </w:pPr>
            <w:r w:rsidRPr="00AB6D74">
              <w:rPr>
                <w:b/>
                <w:bCs/>
                <w:sz w:val="22"/>
                <w:szCs w:val="22"/>
              </w:rPr>
              <w:t>Concepto</w:t>
            </w:r>
          </w:p>
        </w:tc>
        <w:tc>
          <w:tcPr>
            <w:tcW w:w="2257" w:type="dxa"/>
            <w:shd w:val="clear" w:color="auto" w:fill="auto"/>
          </w:tcPr>
          <w:p w:rsidR="00B22E53" w:rsidRPr="00AB6D74" w:rsidRDefault="00B22E53" w:rsidP="00510B05">
            <w:pPr>
              <w:autoSpaceDE w:val="0"/>
              <w:autoSpaceDN w:val="0"/>
              <w:adjustRightInd w:val="0"/>
              <w:jc w:val="both"/>
              <w:rPr>
                <w:b/>
                <w:bCs/>
                <w:sz w:val="22"/>
                <w:szCs w:val="22"/>
              </w:rPr>
            </w:pPr>
            <w:r w:rsidRPr="00AB6D74">
              <w:rPr>
                <w:b/>
                <w:bCs/>
                <w:sz w:val="22"/>
                <w:szCs w:val="22"/>
              </w:rPr>
              <w:t>Años de Vida</w:t>
            </w:r>
          </w:p>
          <w:p w:rsidR="00B22E53" w:rsidRPr="00AB6D74" w:rsidRDefault="00B22E53" w:rsidP="00510B05">
            <w:pPr>
              <w:autoSpaceDE w:val="0"/>
              <w:autoSpaceDN w:val="0"/>
              <w:adjustRightInd w:val="0"/>
              <w:jc w:val="both"/>
              <w:rPr>
                <w:sz w:val="22"/>
                <w:szCs w:val="22"/>
              </w:rPr>
            </w:pPr>
            <w:r w:rsidRPr="00AB6D74">
              <w:rPr>
                <w:b/>
                <w:bCs/>
                <w:sz w:val="22"/>
                <w:szCs w:val="22"/>
              </w:rPr>
              <w:t>Útil Estimada</w:t>
            </w:r>
          </w:p>
        </w:tc>
        <w:tc>
          <w:tcPr>
            <w:tcW w:w="2238" w:type="dxa"/>
            <w:shd w:val="clear" w:color="auto" w:fill="auto"/>
          </w:tcPr>
          <w:p w:rsidR="00B22E53" w:rsidRPr="00AB6D74" w:rsidRDefault="00B22E53" w:rsidP="00510B05">
            <w:pPr>
              <w:autoSpaceDE w:val="0"/>
              <w:autoSpaceDN w:val="0"/>
              <w:adjustRightInd w:val="0"/>
              <w:jc w:val="both"/>
              <w:rPr>
                <w:b/>
                <w:bCs/>
                <w:sz w:val="22"/>
                <w:szCs w:val="22"/>
              </w:rPr>
            </w:pPr>
            <w:r w:rsidRPr="00AB6D74">
              <w:rPr>
                <w:b/>
                <w:bCs/>
                <w:sz w:val="22"/>
                <w:szCs w:val="22"/>
              </w:rPr>
              <w:t>Porcentaje</w:t>
            </w:r>
          </w:p>
          <w:p w:rsidR="00B22E53" w:rsidRPr="00AB6D74" w:rsidRDefault="00B22E53" w:rsidP="00510B05">
            <w:pPr>
              <w:autoSpaceDE w:val="0"/>
              <w:autoSpaceDN w:val="0"/>
              <w:adjustRightInd w:val="0"/>
              <w:jc w:val="both"/>
              <w:rPr>
                <w:sz w:val="22"/>
                <w:szCs w:val="22"/>
              </w:rPr>
            </w:pPr>
            <w:r w:rsidRPr="00AB6D74">
              <w:rPr>
                <w:b/>
                <w:bCs/>
                <w:sz w:val="22"/>
                <w:szCs w:val="22"/>
              </w:rPr>
              <w:t>Anual</w:t>
            </w:r>
          </w:p>
        </w:tc>
      </w:tr>
      <w:tr w:rsidR="00B22E53" w:rsidRPr="00AB6D74" w:rsidTr="00AB6D74">
        <w:trPr>
          <w:tblCellSpacing w:w="20" w:type="dxa"/>
        </w:trPr>
        <w:tc>
          <w:tcPr>
            <w:tcW w:w="2259" w:type="dxa"/>
            <w:shd w:val="clear" w:color="auto" w:fill="auto"/>
          </w:tcPr>
          <w:p w:rsidR="00B22E53" w:rsidRPr="00AB6D74" w:rsidRDefault="00B22E53" w:rsidP="00510B05">
            <w:pPr>
              <w:autoSpaceDE w:val="0"/>
              <w:autoSpaceDN w:val="0"/>
              <w:adjustRightInd w:val="0"/>
              <w:jc w:val="both"/>
              <w:rPr>
                <w:sz w:val="22"/>
                <w:szCs w:val="22"/>
              </w:rPr>
            </w:pPr>
            <w:r w:rsidRPr="00AB6D74">
              <w:rPr>
                <w:sz w:val="22"/>
                <w:szCs w:val="22"/>
              </w:rPr>
              <w:t>Equipos para proceso de información</w:t>
            </w:r>
          </w:p>
        </w:tc>
        <w:tc>
          <w:tcPr>
            <w:tcW w:w="2257" w:type="dxa"/>
            <w:shd w:val="clear" w:color="auto" w:fill="auto"/>
          </w:tcPr>
          <w:p w:rsidR="00B22E53" w:rsidRPr="00AB6D74" w:rsidRDefault="00B22E53" w:rsidP="00510B05">
            <w:pPr>
              <w:autoSpaceDE w:val="0"/>
              <w:autoSpaceDN w:val="0"/>
              <w:adjustRightInd w:val="0"/>
              <w:jc w:val="both"/>
              <w:rPr>
                <w:sz w:val="22"/>
                <w:szCs w:val="22"/>
              </w:rPr>
            </w:pPr>
            <w:r w:rsidRPr="00AB6D74">
              <w:rPr>
                <w:sz w:val="22"/>
                <w:szCs w:val="22"/>
              </w:rPr>
              <w:t>4</w:t>
            </w:r>
          </w:p>
        </w:tc>
        <w:tc>
          <w:tcPr>
            <w:tcW w:w="2238" w:type="dxa"/>
            <w:shd w:val="clear" w:color="auto" w:fill="auto"/>
          </w:tcPr>
          <w:p w:rsidR="00B22E53" w:rsidRPr="00AB6D74" w:rsidRDefault="00B22E53" w:rsidP="00510B05">
            <w:pPr>
              <w:autoSpaceDE w:val="0"/>
              <w:autoSpaceDN w:val="0"/>
              <w:adjustRightInd w:val="0"/>
              <w:jc w:val="both"/>
              <w:rPr>
                <w:sz w:val="22"/>
                <w:szCs w:val="22"/>
              </w:rPr>
            </w:pPr>
            <w:r w:rsidRPr="00AB6D74">
              <w:rPr>
                <w:sz w:val="22"/>
                <w:szCs w:val="22"/>
              </w:rPr>
              <w:t>25%</w:t>
            </w:r>
          </w:p>
        </w:tc>
      </w:tr>
    </w:tbl>
    <w:p w:rsidR="00B22E53" w:rsidRDefault="00B22E53" w:rsidP="00510B05">
      <w:pPr>
        <w:autoSpaceDE w:val="0"/>
        <w:autoSpaceDN w:val="0"/>
        <w:adjustRightInd w:val="0"/>
        <w:jc w:val="both"/>
        <w:rPr>
          <w:sz w:val="22"/>
          <w:szCs w:val="22"/>
        </w:rPr>
      </w:pPr>
    </w:p>
    <w:p w:rsidR="00B22E53" w:rsidRDefault="00B22E53" w:rsidP="00510B05">
      <w:pPr>
        <w:autoSpaceDE w:val="0"/>
        <w:autoSpaceDN w:val="0"/>
        <w:adjustRightInd w:val="0"/>
        <w:jc w:val="both"/>
        <w:rPr>
          <w:sz w:val="22"/>
          <w:szCs w:val="22"/>
        </w:rPr>
      </w:pPr>
    </w:p>
    <w:p w:rsidR="00B22E53" w:rsidRDefault="00B22E53" w:rsidP="00510B05">
      <w:pPr>
        <w:autoSpaceDE w:val="0"/>
        <w:autoSpaceDN w:val="0"/>
        <w:adjustRightInd w:val="0"/>
        <w:jc w:val="both"/>
        <w:rPr>
          <w:sz w:val="22"/>
          <w:szCs w:val="22"/>
        </w:rPr>
      </w:pPr>
    </w:p>
    <w:p w:rsidR="00B22E53" w:rsidRDefault="00B22E53" w:rsidP="00510B05">
      <w:pPr>
        <w:autoSpaceDE w:val="0"/>
        <w:autoSpaceDN w:val="0"/>
        <w:adjustRightInd w:val="0"/>
        <w:jc w:val="both"/>
        <w:rPr>
          <w:sz w:val="22"/>
          <w:szCs w:val="22"/>
        </w:rPr>
      </w:pPr>
    </w:p>
    <w:p w:rsidR="00B22E53" w:rsidRDefault="00B22E53" w:rsidP="00510B05">
      <w:pPr>
        <w:autoSpaceDE w:val="0"/>
        <w:autoSpaceDN w:val="0"/>
        <w:adjustRightInd w:val="0"/>
        <w:jc w:val="both"/>
        <w:rPr>
          <w:sz w:val="22"/>
          <w:szCs w:val="22"/>
        </w:rPr>
      </w:pPr>
    </w:p>
    <w:p w:rsidR="00B22E53" w:rsidRDefault="00B22E53" w:rsidP="00510B05">
      <w:pPr>
        <w:autoSpaceDE w:val="0"/>
        <w:autoSpaceDN w:val="0"/>
        <w:adjustRightInd w:val="0"/>
        <w:jc w:val="both"/>
        <w:rPr>
          <w:sz w:val="22"/>
          <w:szCs w:val="22"/>
        </w:rPr>
      </w:pPr>
    </w:p>
    <w:p w:rsidR="00B22E53" w:rsidRDefault="00B22E53" w:rsidP="00510B05">
      <w:pPr>
        <w:autoSpaceDE w:val="0"/>
        <w:autoSpaceDN w:val="0"/>
        <w:adjustRightInd w:val="0"/>
        <w:jc w:val="both"/>
        <w:rPr>
          <w:sz w:val="22"/>
          <w:szCs w:val="22"/>
        </w:rPr>
      </w:pPr>
    </w:p>
    <w:p w:rsidR="00B22E53" w:rsidRDefault="00B22E53" w:rsidP="00510B05">
      <w:pPr>
        <w:autoSpaceDE w:val="0"/>
        <w:autoSpaceDN w:val="0"/>
        <w:adjustRightInd w:val="0"/>
        <w:jc w:val="both"/>
        <w:rPr>
          <w:sz w:val="22"/>
          <w:szCs w:val="22"/>
        </w:rPr>
      </w:pPr>
      <w:r>
        <w:rPr>
          <w:sz w:val="22"/>
          <w:szCs w:val="22"/>
        </w:rPr>
        <w:t>El cargo a la cuenta de pérdidas y ganancias del ejercicio 2013 en concepto de amortización de las inmovilizaciones materiales ha ascendido a</w:t>
      </w:r>
      <w:r w:rsidR="00644605">
        <w:rPr>
          <w:sz w:val="22"/>
          <w:szCs w:val="22"/>
        </w:rPr>
        <w:t xml:space="preserve"> </w:t>
      </w:r>
      <w:r w:rsidR="00BE52F6">
        <w:rPr>
          <w:sz w:val="22"/>
          <w:szCs w:val="22"/>
        </w:rPr>
        <w:t>40,50</w:t>
      </w:r>
      <w:r>
        <w:rPr>
          <w:sz w:val="22"/>
          <w:szCs w:val="22"/>
        </w:rPr>
        <w:t xml:space="preserve"> euros.</w:t>
      </w:r>
    </w:p>
    <w:p w:rsidR="00510B05" w:rsidRDefault="00510B05" w:rsidP="00510B05">
      <w:pPr>
        <w:autoSpaceDE w:val="0"/>
        <w:autoSpaceDN w:val="0"/>
        <w:adjustRightInd w:val="0"/>
        <w:jc w:val="both"/>
        <w:rPr>
          <w:sz w:val="22"/>
          <w:szCs w:val="22"/>
        </w:rPr>
      </w:pPr>
    </w:p>
    <w:p w:rsidR="00973CFD" w:rsidRDefault="00973CFD" w:rsidP="00510B05">
      <w:pPr>
        <w:autoSpaceDE w:val="0"/>
        <w:autoSpaceDN w:val="0"/>
        <w:adjustRightInd w:val="0"/>
        <w:jc w:val="both"/>
        <w:rPr>
          <w:b/>
          <w:bCs/>
          <w:sz w:val="22"/>
          <w:szCs w:val="22"/>
        </w:rPr>
      </w:pPr>
      <w:r>
        <w:rPr>
          <w:b/>
          <w:bCs/>
          <w:sz w:val="22"/>
          <w:szCs w:val="22"/>
        </w:rPr>
        <w:t>c) Arrendamientos y otras operaciones de carácter similar</w:t>
      </w:r>
    </w:p>
    <w:p w:rsidR="00973CFD" w:rsidRDefault="00973CFD" w:rsidP="00510B05">
      <w:pPr>
        <w:autoSpaceDE w:val="0"/>
        <w:autoSpaceDN w:val="0"/>
        <w:adjustRightInd w:val="0"/>
        <w:jc w:val="both"/>
        <w:rPr>
          <w:sz w:val="22"/>
          <w:szCs w:val="22"/>
        </w:rPr>
      </w:pPr>
      <w:r>
        <w:rPr>
          <w:sz w:val="22"/>
          <w:szCs w:val="22"/>
        </w:rPr>
        <w:t>Los gastos de arrendamientos operativos incurridos durante el ejercicio se cargan en la Cuenta de Pérdidas y Ganancias.</w:t>
      </w:r>
    </w:p>
    <w:p w:rsidR="00510B05" w:rsidRDefault="00510B05" w:rsidP="00510B05">
      <w:pPr>
        <w:autoSpaceDE w:val="0"/>
        <w:autoSpaceDN w:val="0"/>
        <w:adjustRightInd w:val="0"/>
        <w:jc w:val="both"/>
        <w:rPr>
          <w:sz w:val="22"/>
          <w:szCs w:val="22"/>
        </w:rPr>
      </w:pPr>
    </w:p>
    <w:p w:rsidR="00B22E53" w:rsidRDefault="00973CFD" w:rsidP="00510B05">
      <w:pPr>
        <w:autoSpaceDE w:val="0"/>
        <w:autoSpaceDN w:val="0"/>
        <w:adjustRightInd w:val="0"/>
        <w:jc w:val="both"/>
        <w:rPr>
          <w:b/>
          <w:bCs/>
          <w:sz w:val="22"/>
          <w:szCs w:val="22"/>
        </w:rPr>
      </w:pPr>
      <w:r>
        <w:rPr>
          <w:b/>
          <w:bCs/>
          <w:sz w:val="22"/>
          <w:szCs w:val="22"/>
        </w:rPr>
        <w:t>d) Instrumentos Financieros</w:t>
      </w:r>
    </w:p>
    <w:p w:rsidR="00973CFD" w:rsidRDefault="00973CFD" w:rsidP="00510B05">
      <w:pPr>
        <w:autoSpaceDE w:val="0"/>
        <w:autoSpaceDN w:val="0"/>
        <w:adjustRightInd w:val="0"/>
        <w:jc w:val="both"/>
        <w:rPr>
          <w:sz w:val="22"/>
          <w:szCs w:val="22"/>
        </w:rPr>
      </w:pPr>
      <w:r>
        <w:rPr>
          <w:sz w:val="22"/>
          <w:szCs w:val="22"/>
        </w:rPr>
        <w:t>La Federación no dispone de instrumentos financieros al cierre del ejercicio</w:t>
      </w:r>
    </w:p>
    <w:p w:rsidR="00510B05" w:rsidRDefault="00510B05" w:rsidP="00510B05">
      <w:pPr>
        <w:autoSpaceDE w:val="0"/>
        <w:autoSpaceDN w:val="0"/>
        <w:adjustRightInd w:val="0"/>
        <w:jc w:val="both"/>
        <w:rPr>
          <w:b/>
          <w:bCs/>
          <w:sz w:val="22"/>
          <w:szCs w:val="22"/>
        </w:rPr>
      </w:pPr>
    </w:p>
    <w:p w:rsidR="00510B05" w:rsidRDefault="00973CFD" w:rsidP="00510B05">
      <w:pPr>
        <w:autoSpaceDE w:val="0"/>
        <w:autoSpaceDN w:val="0"/>
        <w:adjustRightInd w:val="0"/>
        <w:jc w:val="both"/>
        <w:rPr>
          <w:b/>
          <w:bCs/>
          <w:sz w:val="22"/>
          <w:szCs w:val="22"/>
        </w:rPr>
      </w:pPr>
      <w:r>
        <w:rPr>
          <w:b/>
          <w:bCs/>
          <w:sz w:val="22"/>
          <w:szCs w:val="22"/>
        </w:rPr>
        <w:t>e) Existencias</w:t>
      </w:r>
    </w:p>
    <w:p w:rsidR="00973CFD" w:rsidRDefault="00973CFD" w:rsidP="00510B05">
      <w:pPr>
        <w:autoSpaceDE w:val="0"/>
        <w:autoSpaceDN w:val="0"/>
        <w:adjustRightInd w:val="0"/>
        <w:jc w:val="both"/>
        <w:rPr>
          <w:sz w:val="22"/>
          <w:szCs w:val="22"/>
        </w:rPr>
      </w:pPr>
      <w:r>
        <w:rPr>
          <w:sz w:val="22"/>
          <w:szCs w:val="22"/>
        </w:rPr>
        <w:t>La Federación no tiene existencias de ropa deportiva al cierre del ejercicio.</w:t>
      </w:r>
    </w:p>
    <w:p w:rsidR="00B35A37" w:rsidRDefault="00B35A37" w:rsidP="00510B05">
      <w:pPr>
        <w:autoSpaceDE w:val="0"/>
        <w:autoSpaceDN w:val="0"/>
        <w:adjustRightInd w:val="0"/>
        <w:jc w:val="both"/>
        <w:rPr>
          <w:b/>
          <w:bCs/>
          <w:sz w:val="22"/>
          <w:szCs w:val="22"/>
        </w:rPr>
      </w:pPr>
    </w:p>
    <w:p w:rsidR="00B35A37" w:rsidRDefault="00B35A37" w:rsidP="00510B05">
      <w:pPr>
        <w:autoSpaceDE w:val="0"/>
        <w:autoSpaceDN w:val="0"/>
        <w:adjustRightInd w:val="0"/>
        <w:jc w:val="both"/>
        <w:rPr>
          <w:b/>
          <w:bCs/>
          <w:sz w:val="22"/>
          <w:szCs w:val="22"/>
        </w:rPr>
      </w:pPr>
    </w:p>
    <w:p w:rsidR="00973CFD" w:rsidRDefault="00973CFD" w:rsidP="00510B05">
      <w:pPr>
        <w:autoSpaceDE w:val="0"/>
        <w:autoSpaceDN w:val="0"/>
        <w:adjustRightInd w:val="0"/>
        <w:jc w:val="both"/>
        <w:rPr>
          <w:b/>
          <w:bCs/>
          <w:sz w:val="22"/>
          <w:szCs w:val="22"/>
        </w:rPr>
      </w:pPr>
      <w:r>
        <w:rPr>
          <w:b/>
          <w:bCs/>
          <w:sz w:val="22"/>
          <w:szCs w:val="22"/>
        </w:rPr>
        <w:t>f) Transacciones en Moneda Extranjera</w:t>
      </w:r>
    </w:p>
    <w:p w:rsidR="00973CFD" w:rsidRDefault="00973CFD" w:rsidP="00510B05">
      <w:pPr>
        <w:autoSpaceDE w:val="0"/>
        <w:autoSpaceDN w:val="0"/>
        <w:adjustRightInd w:val="0"/>
        <w:jc w:val="both"/>
        <w:rPr>
          <w:sz w:val="22"/>
          <w:szCs w:val="22"/>
        </w:rPr>
      </w:pPr>
      <w:r>
        <w:rPr>
          <w:sz w:val="22"/>
          <w:szCs w:val="22"/>
        </w:rPr>
        <w:t>Las diferencias de cambio, tanto positivas como negativas, que se originen al cierre del ejercicio, así como las que se produzcan al liquidar dichos elementos patrimoniales, se reconocen en la cuenta de pérdidas y ganancias del ejercicio en que surgen.</w:t>
      </w:r>
    </w:p>
    <w:p w:rsidR="00510B05" w:rsidRDefault="00510B05" w:rsidP="00510B05">
      <w:pPr>
        <w:autoSpaceDE w:val="0"/>
        <w:autoSpaceDN w:val="0"/>
        <w:adjustRightInd w:val="0"/>
        <w:jc w:val="both"/>
        <w:rPr>
          <w:sz w:val="22"/>
          <w:szCs w:val="22"/>
        </w:rPr>
      </w:pPr>
    </w:p>
    <w:p w:rsidR="00973CFD" w:rsidRDefault="00973CFD" w:rsidP="00510B05">
      <w:pPr>
        <w:autoSpaceDE w:val="0"/>
        <w:autoSpaceDN w:val="0"/>
        <w:adjustRightInd w:val="0"/>
        <w:jc w:val="both"/>
        <w:rPr>
          <w:b/>
          <w:bCs/>
          <w:sz w:val="22"/>
          <w:szCs w:val="22"/>
        </w:rPr>
      </w:pPr>
      <w:r>
        <w:rPr>
          <w:b/>
          <w:bCs/>
          <w:sz w:val="22"/>
          <w:szCs w:val="22"/>
        </w:rPr>
        <w:t>g) Impuesto sobre beneficios</w:t>
      </w:r>
    </w:p>
    <w:p w:rsidR="00973CFD" w:rsidRDefault="00973CFD" w:rsidP="00510B05">
      <w:pPr>
        <w:autoSpaceDE w:val="0"/>
        <w:autoSpaceDN w:val="0"/>
        <w:adjustRightInd w:val="0"/>
        <w:jc w:val="both"/>
        <w:rPr>
          <w:sz w:val="22"/>
          <w:szCs w:val="22"/>
        </w:rPr>
      </w:pPr>
      <w:r>
        <w:rPr>
          <w:sz w:val="22"/>
          <w:szCs w:val="22"/>
        </w:rPr>
        <w:t>La Federación ha optado por la aplicación de Ley 49/2002, de 23 de diciembre de régimen fiscal de las entidades sin fines lucrativos y de los incentivos fiscales al mecenazgo, por lo que, todos los ingresos que percibe la entidad, se hallan exentos de tributar en el Impuesto sobre Beneficios.</w:t>
      </w:r>
    </w:p>
    <w:p w:rsidR="00510B05" w:rsidRDefault="00510B05" w:rsidP="00510B05">
      <w:pPr>
        <w:autoSpaceDE w:val="0"/>
        <w:autoSpaceDN w:val="0"/>
        <w:adjustRightInd w:val="0"/>
        <w:jc w:val="both"/>
        <w:rPr>
          <w:sz w:val="22"/>
          <w:szCs w:val="22"/>
        </w:rPr>
      </w:pPr>
    </w:p>
    <w:p w:rsidR="00973CFD" w:rsidRDefault="00973CFD" w:rsidP="00510B05">
      <w:pPr>
        <w:autoSpaceDE w:val="0"/>
        <w:autoSpaceDN w:val="0"/>
        <w:adjustRightInd w:val="0"/>
        <w:jc w:val="both"/>
        <w:rPr>
          <w:b/>
          <w:bCs/>
          <w:sz w:val="22"/>
          <w:szCs w:val="22"/>
        </w:rPr>
      </w:pPr>
      <w:r>
        <w:rPr>
          <w:b/>
          <w:bCs/>
          <w:sz w:val="22"/>
          <w:szCs w:val="22"/>
        </w:rPr>
        <w:t>h) Ingresos y gastos</w:t>
      </w:r>
    </w:p>
    <w:p w:rsidR="00973CFD" w:rsidRDefault="00973CFD" w:rsidP="00510B05">
      <w:pPr>
        <w:autoSpaceDE w:val="0"/>
        <w:autoSpaceDN w:val="0"/>
        <w:adjustRightInd w:val="0"/>
        <w:jc w:val="both"/>
        <w:rPr>
          <w:sz w:val="22"/>
          <w:szCs w:val="22"/>
        </w:rPr>
      </w:pPr>
      <w:r>
        <w:rPr>
          <w:sz w:val="22"/>
          <w:szCs w:val="22"/>
        </w:rPr>
        <w:t>Los ingresos y gastos se imputan en función del criterio del devengo, es decir, cuando se produce la corriente real de bienes y servicios que los mismos representan, con independencia del momento en que se produzca la corriente monetaria o financiera de los mismos.</w:t>
      </w:r>
    </w:p>
    <w:p w:rsidR="00973CFD" w:rsidRDefault="00973CFD" w:rsidP="00510B05">
      <w:pPr>
        <w:autoSpaceDE w:val="0"/>
        <w:autoSpaceDN w:val="0"/>
        <w:adjustRightInd w:val="0"/>
        <w:jc w:val="both"/>
        <w:rPr>
          <w:sz w:val="22"/>
          <w:szCs w:val="22"/>
        </w:rPr>
      </w:pPr>
      <w:r>
        <w:rPr>
          <w:sz w:val="22"/>
          <w:szCs w:val="22"/>
        </w:rPr>
        <w:t>No obstante, la Federación contabiliza los ingresos y los gastos según normativa del actual Plan General Contable.</w:t>
      </w:r>
    </w:p>
    <w:p w:rsidR="00510B05" w:rsidRDefault="00510B05" w:rsidP="00510B05">
      <w:pPr>
        <w:autoSpaceDE w:val="0"/>
        <w:autoSpaceDN w:val="0"/>
        <w:adjustRightInd w:val="0"/>
        <w:jc w:val="both"/>
        <w:rPr>
          <w:sz w:val="22"/>
          <w:szCs w:val="22"/>
        </w:rPr>
      </w:pPr>
    </w:p>
    <w:p w:rsidR="00973CFD" w:rsidRDefault="00973CFD" w:rsidP="00510B05">
      <w:pPr>
        <w:autoSpaceDE w:val="0"/>
        <w:autoSpaceDN w:val="0"/>
        <w:adjustRightInd w:val="0"/>
        <w:jc w:val="both"/>
        <w:rPr>
          <w:b/>
          <w:bCs/>
          <w:sz w:val="22"/>
          <w:szCs w:val="22"/>
        </w:rPr>
      </w:pPr>
      <w:r>
        <w:rPr>
          <w:b/>
          <w:bCs/>
          <w:sz w:val="22"/>
          <w:szCs w:val="22"/>
        </w:rPr>
        <w:t>i) Provisiones y contingencias</w:t>
      </w:r>
    </w:p>
    <w:p w:rsidR="00973CFD" w:rsidRDefault="00973CFD" w:rsidP="00510B05">
      <w:pPr>
        <w:autoSpaceDE w:val="0"/>
        <w:autoSpaceDN w:val="0"/>
        <w:adjustRightInd w:val="0"/>
        <w:jc w:val="both"/>
        <w:rPr>
          <w:sz w:val="22"/>
          <w:szCs w:val="22"/>
        </w:rPr>
      </w:pPr>
      <w:r>
        <w:rPr>
          <w:sz w:val="22"/>
          <w:szCs w:val="22"/>
        </w:rPr>
        <w:t>La provisión para insolvencias de cuentas a cobrar cubre, de forma razonable, las pérdidas que puedan producirse por la incobrabilidad de los saldos mantenidos con afiliados y deudores y se ha estimado en función del análisis individual efectuado sobre cada uno de los saldos pendientes de cobro.</w:t>
      </w:r>
    </w:p>
    <w:p w:rsidR="00973CFD" w:rsidRDefault="00973CFD" w:rsidP="00510B05">
      <w:pPr>
        <w:autoSpaceDE w:val="0"/>
        <w:autoSpaceDN w:val="0"/>
        <w:adjustRightInd w:val="0"/>
        <w:jc w:val="both"/>
        <w:rPr>
          <w:sz w:val="22"/>
          <w:szCs w:val="22"/>
        </w:rPr>
      </w:pPr>
      <w:r>
        <w:rPr>
          <w:sz w:val="22"/>
          <w:szCs w:val="22"/>
        </w:rPr>
        <w:t>En 201</w:t>
      </w:r>
      <w:r w:rsidR="00644605">
        <w:rPr>
          <w:sz w:val="22"/>
          <w:szCs w:val="22"/>
        </w:rPr>
        <w:t>4</w:t>
      </w:r>
      <w:r>
        <w:rPr>
          <w:sz w:val="22"/>
          <w:szCs w:val="22"/>
        </w:rPr>
        <w:t xml:space="preserve"> no se han dotado provisiones por ningún concepto. Por otro lado, tampoco había dotadas ninguna provisión a inicio del ejercicio</w:t>
      </w:r>
    </w:p>
    <w:p w:rsidR="00510B05" w:rsidRDefault="00510B05" w:rsidP="00510B05">
      <w:pPr>
        <w:autoSpaceDE w:val="0"/>
        <w:autoSpaceDN w:val="0"/>
        <w:adjustRightInd w:val="0"/>
        <w:jc w:val="both"/>
        <w:rPr>
          <w:sz w:val="22"/>
          <w:szCs w:val="22"/>
        </w:rPr>
      </w:pPr>
    </w:p>
    <w:p w:rsidR="00973CFD" w:rsidRDefault="00973CFD" w:rsidP="00510B05">
      <w:pPr>
        <w:autoSpaceDE w:val="0"/>
        <w:autoSpaceDN w:val="0"/>
        <w:adjustRightInd w:val="0"/>
        <w:jc w:val="both"/>
        <w:rPr>
          <w:b/>
          <w:bCs/>
          <w:sz w:val="22"/>
          <w:szCs w:val="22"/>
        </w:rPr>
      </w:pPr>
      <w:r>
        <w:rPr>
          <w:b/>
          <w:bCs/>
          <w:sz w:val="22"/>
          <w:szCs w:val="22"/>
        </w:rPr>
        <w:t>j) Estados de Flujos de Efectivo</w:t>
      </w:r>
    </w:p>
    <w:p w:rsidR="00973CFD" w:rsidRDefault="00973CFD" w:rsidP="00510B05">
      <w:pPr>
        <w:autoSpaceDE w:val="0"/>
        <w:autoSpaceDN w:val="0"/>
        <w:adjustRightInd w:val="0"/>
        <w:jc w:val="both"/>
        <w:rPr>
          <w:sz w:val="22"/>
          <w:szCs w:val="22"/>
        </w:rPr>
      </w:pPr>
      <w:r>
        <w:rPr>
          <w:sz w:val="22"/>
          <w:szCs w:val="22"/>
        </w:rPr>
        <w:t>En los estados de flujos de efectivo se utilizan las siguientes expresiones en el sentido que figura a continuación:</w:t>
      </w:r>
    </w:p>
    <w:p w:rsidR="00973CFD" w:rsidRPr="00973CFD" w:rsidRDefault="00973CFD" w:rsidP="00510B05">
      <w:pPr>
        <w:autoSpaceDE w:val="0"/>
        <w:autoSpaceDN w:val="0"/>
        <w:adjustRightInd w:val="0"/>
        <w:jc w:val="both"/>
        <w:rPr>
          <w:sz w:val="22"/>
          <w:szCs w:val="22"/>
        </w:rPr>
      </w:pPr>
      <w:r>
        <w:rPr>
          <w:sz w:val="22"/>
          <w:szCs w:val="22"/>
        </w:rPr>
        <w:t>Efectivo o equivalentes: el efectivo comprende tanto la caja como los depósitos bancarios a la vista. Los equivalentes al efectivo son instrumentos financieros, que forman parte de la gestión normal de la tesorería de la Sociedad, son convertibles en efectivo, tienen vencimientos iniciales no superiores a tres meses y están sujetos a un riesgo poco significativo de cambios en</w:t>
      </w:r>
      <w:r w:rsidR="00E8195A">
        <w:rPr>
          <w:sz w:val="22"/>
          <w:szCs w:val="22"/>
        </w:rPr>
        <w:t xml:space="preserve"> </w:t>
      </w:r>
      <w:r>
        <w:rPr>
          <w:sz w:val="22"/>
          <w:szCs w:val="22"/>
        </w:rPr>
        <w:t>su valor.</w:t>
      </w:r>
    </w:p>
    <w:p w:rsidR="00973CFD" w:rsidRDefault="00973CFD" w:rsidP="00510B05">
      <w:pPr>
        <w:autoSpaceDE w:val="0"/>
        <w:autoSpaceDN w:val="0"/>
        <w:adjustRightInd w:val="0"/>
        <w:jc w:val="both"/>
        <w:rPr>
          <w:sz w:val="22"/>
          <w:szCs w:val="22"/>
        </w:rPr>
      </w:pPr>
      <w:r>
        <w:rPr>
          <w:sz w:val="22"/>
          <w:szCs w:val="22"/>
        </w:rPr>
        <w:t>Flujos de efectivo: entradas y salidas de efectivo o de otros medios equivalentes, entendiendo por éstos las inversiones a plazo inferior a tres meses de gran liquidez y bajo riesgo de alteraciones en su valor.</w:t>
      </w:r>
    </w:p>
    <w:p w:rsidR="00973CFD" w:rsidRDefault="00973CFD" w:rsidP="00510B05">
      <w:pPr>
        <w:autoSpaceDE w:val="0"/>
        <w:autoSpaceDN w:val="0"/>
        <w:adjustRightInd w:val="0"/>
        <w:jc w:val="both"/>
        <w:rPr>
          <w:sz w:val="22"/>
          <w:szCs w:val="22"/>
        </w:rPr>
      </w:pPr>
      <w:r>
        <w:rPr>
          <w:sz w:val="22"/>
          <w:szCs w:val="22"/>
        </w:rPr>
        <w:t>Actividades de explotación: son las actividades que constituyen la principal fuente de ingresos ordinarios de la Federación, así como otras actividades que no puedan ser calificadas como de inversión o financiación.</w:t>
      </w:r>
    </w:p>
    <w:p w:rsidR="00973CFD" w:rsidRDefault="00973CFD" w:rsidP="00510B05">
      <w:pPr>
        <w:autoSpaceDE w:val="0"/>
        <w:autoSpaceDN w:val="0"/>
        <w:adjustRightInd w:val="0"/>
        <w:jc w:val="both"/>
        <w:rPr>
          <w:sz w:val="22"/>
          <w:szCs w:val="22"/>
        </w:rPr>
      </w:pPr>
      <w:r>
        <w:rPr>
          <w:sz w:val="22"/>
          <w:szCs w:val="22"/>
        </w:rPr>
        <w:t>Actividades de inversión: las de adquisición, enajenación o disposición por otros medios de activos a largo plazo y otras inversiones no incluidas en el efectivo y sus equivalentes.</w:t>
      </w:r>
    </w:p>
    <w:p w:rsidR="00973CFD" w:rsidRDefault="00973CFD" w:rsidP="00510B05">
      <w:pPr>
        <w:autoSpaceDE w:val="0"/>
        <w:autoSpaceDN w:val="0"/>
        <w:adjustRightInd w:val="0"/>
        <w:jc w:val="both"/>
        <w:rPr>
          <w:sz w:val="22"/>
          <w:szCs w:val="22"/>
        </w:rPr>
      </w:pPr>
      <w:r>
        <w:rPr>
          <w:sz w:val="22"/>
          <w:szCs w:val="22"/>
        </w:rPr>
        <w:t>Actividades de financiación: actividades que producen cambios en el tamaño y composición del patrimonio neto y de los pasivos de carácter financiero.</w:t>
      </w:r>
    </w:p>
    <w:p w:rsidR="00510B05" w:rsidRDefault="00510B05" w:rsidP="00510B05">
      <w:pPr>
        <w:autoSpaceDE w:val="0"/>
        <w:autoSpaceDN w:val="0"/>
        <w:adjustRightInd w:val="0"/>
        <w:jc w:val="both"/>
        <w:rPr>
          <w:sz w:val="22"/>
          <w:szCs w:val="22"/>
        </w:rPr>
      </w:pPr>
    </w:p>
    <w:p w:rsidR="00E8195A" w:rsidRDefault="00E8195A" w:rsidP="00510B05">
      <w:pPr>
        <w:autoSpaceDE w:val="0"/>
        <w:autoSpaceDN w:val="0"/>
        <w:adjustRightInd w:val="0"/>
        <w:jc w:val="both"/>
        <w:rPr>
          <w:sz w:val="22"/>
          <w:szCs w:val="22"/>
        </w:rPr>
      </w:pPr>
    </w:p>
    <w:p w:rsidR="00973CFD" w:rsidRDefault="00973CFD" w:rsidP="00510B05">
      <w:pPr>
        <w:autoSpaceDE w:val="0"/>
        <w:autoSpaceDN w:val="0"/>
        <w:adjustRightInd w:val="0"/>
        <w:jc w:val="both"/>
        <w:rPr>
          <w:b/>
          <w:bCs/>
          <w:sz w:val="22"/>
          <w:szCs w:val="22"/>
        </w:rPr>
      </w:pPr>
      <w:r>
        <w:rPr>
          <w:b/>
          <w:bCs/>
          <w:sz w:val="22"/>
          <w:szCs w:val="22"/>
        </w:rPr>
        <w:t>NOTA 5. INMOVILIZADO MATERIAL E INTANGIBLE</w:t>
      </w:r>
    </w:p>
    <w:p w:rsidR="00510B05" w:rsidRDefault="00510B05" w:rsidP="00510B05">
      <w:pPr>
        <w:autoSpaceDE w:val="0"/>
        <w:autoSpaceDN w:val="0"/>
        <w:adjustRightInd w:val="0"/>
        <w:jc w:val="both"/>
        <w:rPr>
          <w:b/>
          <w:bCs/>
          <w:sz w:val="22"/>
          <w:szCs w:val="22"/>
        </w:rPr>
      </w:pPr>
    </w:p>
    <w:p w:rsidR="00B22E53" w:rsidRDefault="00C94ED7" w:rsidP="00510B05">
      <w:pPr>
        <w:autoSpaceDE w:val="0"/>
        <w:autoSpaceDN w:val="0"/>
        <w:adjustRightInd w:val="0"/>
        <w:jc w:val="both"/>
        <w:rPr>
          <w:sz w:val="22"/>
          <w:szCs w:val="22"/>
        </w:rPr>
      </w:pPr>
      <w:r>
        <w:rPr>
          <w:sz w:val="22"/>
          <w:szCs w:val="22"/>
        </w:rPr>
        <w:t>Al 31 de diciembre de 2014</w:t>
      </w:r>
      <w:r w:rsidR="00B61D6C">
        <w:rPr>
          <w:sz w:val="22"/>
          <w:szCs w:val="22"/>
        </w:rPr>
        <w:t>, la composición, así como el movimiento de las inmovilizaciones materiales durante el ejercicio, son las que se muestran a continuación:</w:t>
      </w:r>
    </w:p>
    <w:tbl>
      <w:tblPr>
        <w:tblW w:w="0" w:type="auto"/>
        <w:tblCellSpacing w:w="20" w:type="dxa"/>
        <w:tblInd w:w="25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965"/>
        <w:gridCol w:w="1001"/>
        <w:gridCol w:w="1037"/>
        <w:gridCol w:w="1132"/>
        <w:gridCol w:w="1141"/>
        <w:gridCol w:w="1163"/>
        <w:gridCol w:w="1398"/>
        <w:gridCol w:w="1159"/>
      </w:tblGrid>
      <w:tr w:rsidR="0080776E" w:rsidRPr="00AB6D74" w:rsidTr="00644605">
        <w:trPr>
          <w:trHeight w:val="202"/>
          <w:tblCellSpacing w:w="20" w:type="dxa"/>
        </w:trPr>
        <w:tc>
          <w:tcPr>
            <w:tcW w:w="1905" w:type="dxa"/>
            <w:shd w:val="clear" w:color="auto" w:fill="auto"/>
          </w:tcPr>
          <w:p w:rsidR="00B61D6C" w:rsidRPr="00AB6D74" w:rsidRDefault="00B61D6C" w:rsidP="00510B05">
            <w:pPr>
              <w:autoSpaceDE w:val="0"/>
              <w:autoSpaceDN w:val="0"/>
              <w:adjustRightInd w:val="0"/>
              <w:jc w:val="both"/>
              <w:rPr>
                <w:sz w:val="18"/>
                <w:szCs w:val="18"/>
              </w:rPr>
            </w:pPr>
            <w:r w:rsidRPr="00AB6D74">
              <w:rPr>
                <w:b/>
                <w:bCs/>
                <w:sz w:val="18"/>
                <w:szCs w:val="18"/>
              </w:rPr>
              <w:t>Concepto</w:t>
            </w:r>
          </w:p>
        </w:tc>
        <w:tc>
          <w:tcPr>
            <w:tcW w:w="961" w:type="dxa"/>
            <w:shd w:val="clear" w:color="auto" w:fill="auto"/>
          </w:tcPr>
          <w:p w:rsidR="00B61D6C" w:rsidRPr="00AB6D74" w:rsidRDefault="00B61D6C" w:rsidP="00510B05">
            <w:pPr>
              <w:autoSpaceDE w:val="0"/>
              <w:autoSpaceDN w:val="0"/>
              <w:adjustRightInd w:val="0"/>
              <w:jc w:val="both"/>
              <w:rPr>
                <w:sz w:val="18"/>
                <w:szCs w:val="18"/>
              </w:rPr>
            </w:pPr>
            <w:r w:rsidRPr="00AB6D74">
              <w:rPr>
                <w:b/>
                <w:bCs/>
                <w:sz w:val="18"/>
                <w:szCs w:val="18"/>
              </w:rPr>
              <w:t>31-12-1</w:t>
            </w:r>
            <w:r w:rsidR="00644605">
              <w:rPr>
                <w:b/>
                <w:bCs/>
                <w:sz w:val="18"/>
                <w:szCs w:val="18"/>
              </w:rPr>
              <w:t>2</w:t>
            </w:r>
          </w:p>
        </w:tc>
        <w:tc>
          <w:tcPr>
            <w:tcW w:w="997" w:type="dxa"/>
            <w:shd w:val="clear" w:color="auto" w:fill="auto"/>
          </w:tcPr>
          <w:p w:rsidR="00B61D6C" w:rsidRPr="00AB6D74" w:rsidRDefault="00B61D6C" w:rsidP="00510B05">
            <w:pPr>
              <w:autoSpaceDE w:val="0"/>
              <w:autoSpaceDN w:val="0"/>
              <w:adjustRightInd w:val="0"/>
              <w:jc w:val="both"/>
              <w:rPr>
                <w:sz w:val="18"/>
                <w:szCs w:val="18"/>
              </w:rPr>
            </w:pPr>
            <w:r w:rsidRPr="00AB6D74">
              <w:rPr>
                <w:b/>
                <w:bCs/>
                <w:sz w:val="18"/>
                <w:szCs w:val="18"/>
              </w:rPr>
              <w:t>Adiciones</w:t>
            </w:r>
          </w:p>
        </w:tc>
        <w:tc>
          <w:tcPr>
            <w:tcW w:w="1092" w:type="dxa"/>
            <w:shd w:val="clear" w:color="auto" w:fill="auto"/>
          </w:tcPr>
          <w:p w:rsidR="00B61D6C" w:rsidRPr="00AB6D74" w:rsidRDefault="00B61D6C" w:rsidP="00510B05">
            <w:pPr>
              <w:autoSpaceDE w:val="0"/>
              <w:autoSpaceDN w:val="0"/>
              <w:adjustRightInd w:val="0"/>
              <w:jc w:val="both"/>
              <w:rPr>
                <w:sz w:val="18"/>
                <w:szCs w:val="18"/>
              </w:rPr>
            </w:pPr>
            <w:r w:rsidRPr="00AB6D74">
              <w:rPr>
                <w:b/>
                <w:bCs/>
                <w:sz w:val="18"/>
                <w:szCs w:val="18"/>
              </w:rPr>
              <w:t>Retiros</w:t>
            </w:r>
          </w:p>
        </w:tc>
        <w:tc>
          <w:tcPr>
            <w:tcW w:w="1101" w:type="dxa"/>
            <w:shd w:val="clear" w:color="auto" w:fill="auto"/>
          </w:tcPr>
          <w:p w:rsidR="00B61D6C" w:rsidRPr="00AB6D74" w:rsidRDefault="00B61D6C" w:rsidP="00510B05">
            <w:pPr>
              <w:autoSpaceDE w:val="0"/>
              <w:autoSpaceDN w:val="0"/>
              <w:adjustRightInd w:val="0"/>
              <w:jc w:val="both"/>
              <w:rPr>
                <w:sz w:val="18"/>
                <w:szCs w:val="18"/>
              </w:rPr>
            </w:pPr>
            <w:r w:rsidRPr="00AB6D74">
              <w:rPr>
                <w:b/>
                <w:bCs/>
                <w:sz w:val="18"/>
                <w:szCs w:val="18"/>
              </w:rPr>
              <w:t>31-12-1</w:t>
            </w:r>
            <w:r w:rsidR="00644605">
              <w:rPr>
                <w:b/>
                <w:bCs/>
                <w:sz w:val="18"/>
                <w:szCs w:val="18"/>
              </w:rPr>
              <w:t>3</w:t>
            </w:r>
          </w:p>
        </w:tc>
        <w:tc>
          <w:tcPr>
            <w:tcW w:w="1123" w:type="dxa"/>
            <w:shd w:val="clear" w:color="auto" w:fill="auto"/>
          </w:tcPr>
          <w:p w:rsidR="00B61D6C" w:rsidRPr="00AB6D74" w:rsidRDefault="00B61D6C" w:rsidP="00510B05">
            <w:pPr>
              <w:autoSpaceDE w:val="0"/>
              <w:autoSpaceDN w:val="0"/>
              <w:adjustRightInd w:val="0"/>
              <w:jc w:val="both"/>
              <w:rPr>
                <w:sz w:val="18"/>
                <w:szCs w:val="18"/>
              </w:rPr>
            </w:pPr>
            <w:r w:rsidRPr="00AB6D74">
              <w:rPr>
                <w:b/>
                <w:bCs/>
                <w:sz w:val="18"/>
                <w:szCs w:val="18"/>
              </w:rPr>
              <w:t>Adiciones</w:t>
            </w:r>
          </w:p>
        </w:tc>
        <w:tc>
          <w:tcPr>
            <w:tcW w:w="1358" w:type="dxa"/>
            <w:shd w:val="clear" w:color="auto" w:fill="auto"/>
          </w:tcPr>
          <w:p w:rsidR="00B61D6C" w:rsidRPr="00AB6D74" w:rsidRDefault="00B61D6C" w:rsidP="00510B05">
            <w:pPr>
              <w:autoSpaceDE w:val="0"/>
              <w:autoSpaceDN w:val="0"/>
              <w:adjustRightInd w:val="0"/>
              <w:jc w:val="both"/>
              <w:rPr>
                <w:sz w:val="18"/>
                <w:szCs w:val="18"/>
              </w:rPr>
            </w:pPr>
            <w:r w:rsidRPr="00AB6D74">
              <w:rPr>
                <w:b/>
                <w:bCs/>
                <w:sz w:val="18"/>
                <w:szCs w:val="18"/>
              </w:rPr>
              <w:t>Retiros</w:t>
            </w:r>
          </w:p>
        </w:tc>
        <w:tc>
          <w:tcPr>
            <w:tcW w:w="1099" w:type="dxa"/>
            <w:shd w:val="clear" w:color="auto" w:fill="auto"/>
          </w:tcPr>
          <w:p w:rsidR="00B61D6C" w:rsidRPr="00AB6D74" w:rsidRDefault="00B61D6C" w:rsidP="00510B05">
            <w:pPr>
              <w:autoSpaceDE w:val="0"/>
              <w:autoSpaceDN w:val="0"/>
              <w:adjustRightInd w:val="0"/>
              <w:jc w:val="both"/>
              <w:rPr>
                <w:sz w:val="18"/>
                <w:szCs w:val="18"/>
              </w:rPr>
            </w:pPr>
            <w:r w:rsidRPr="00AB6D74">
              <w:rPr>
                <w:b/>
                <w:bCs/>
                <w:sz w:val="18"/>
                <w:szCs w:val="18"/>
              </w:rPr>
              <w:t>31-12-1</w:t>
            </w:r>
            <w:r w:rsidR="00644605">
              <w:rPr>
                <w:b/>
                <w:bCs/>
                <w:sz w:val="18"/>
                <w:szCs w:val="18"/>
              </w:rPr>
              <w:t>4</w:t>
            </w:r>
          </w:p>
        </w:tc>
      </w:tr>
      <w:tr w:rsidR="0080776E" w:rsidRPr="00AB6D74" w:rsidTr="00644605">
        <w:trPr>
          <w:trHeight w:val="786"/>
          <w:tblCellSpacing w:w="20" w:type="dxa"/>
        </w:trPr>
        <w:tc>
          <w:tcPr>
            <w:tcW w:w="1905" w:type="dxa"/>
            <w:shd w:val="clear" w:color="auto" w:fill="auto"/>
          </w:tcPr>
          <w:p w:rsidR="00B61D6C" w:rsidRPr="00AB6D74" w:rsidRDefault="00B61D6C" w:rsidP="00510B05">
            <w:pPr>
              <w:autoSpaceDE w:val="0"/>
              <w:autoSpaceDN w:val="0"/>
              <w:adjustRightInd w:val="0"/>
              <w:jc w:val="both"/>
              <w:rPr>
                <w:b/>
                <w:bCs/>
                <w:sz w:val="18"/>
                <w:szCs w:val="18"/>
              </w:rPr>
            </w:pPr>
            <w:r w:rsidRPr="00AB6D74">
              <w:rPr>
                <w:b/>
                <w:bCs/>
                <w:sz w:val="18"/>
                <w:szCs w:val="18"/>
              </w:rPr>
              <w:t>Coste:</w:t>
            </w:r>
          </w:p>
          <w:p w:rsidR="00B61D6C" w:rsidRPr="00AB6D74" w:rsidRDefault="00B61D6C" w:rsidP="00510B05">
            <w:pPr>
              <w:autoSpaceDE w:val="0"/>
              <w:autoSpaceDN w:val="0"/>
              <w:adjustRightInd w:val="0"/>
              <w:jc w:val="both"/>
              <w:rPr>
                <w:sz w:val="18"/>
                <w:szCs w:val="18"/>
              </w:rPr>
            </w:pPr>
            <w:r w:rsidRPr="00AB6D74">
              <w:rPr>
                <w:sz w:val="18"/>
                <w:szCs w:val="18"/>
              </w:rPr>
              <w:t>Equipos para proceso de información</w:t>
            </w:r>
          </w:p>
          <w:p w:rsidR="00B61D6C" w:rsidRPr="00AB6D74" w:rsidRDefault="00B61D6C" w:rsidP="00510B05">
            <w:pPr>
              <w:autoSpaceDE w:val="0"/>
              <w:autoSpaceDN w:val="0"/>
              <w:adjustRightInd w:val="0"/>
              <w:jc w:val="both"/>
              <w:rPr>
                <w:sz w:val="18"/>
                <w:szCs w:val="18"/>
              </w:rPr>
            </w:pPr>
            <w:r w:rsidRPr="00AB6D74">
              <w:rPr>
                <w:b/>
                <w:bCs/>
                <w:sz w:val="18"/>
                <w:szCs w:val="18"/>
              </w:rPr>
              <w:t>Total</w:t>
            </w:r>
          </w:p>
        </w:tc>
        <w:tc>
          <w:tcPr>
            <w:tcW w:w="961" w:type="dxa"/>
            <w:shd w:val="clear" w:color="auto" w:fill="auto"/>
          </w:tcPr>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sz w:val="18"/>
                <w:szCs w:val="18"/>
              </w:rPr>
              <w:t>657,00</w:t>
            </w:r>
          </w:p>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b/>
                <w:bCs/>
                <w:sz w:val="18"/>
                <w:szCs w:val="18"/>
              </w:rPr>
              <w:t>657,00</w:t>
            </w:r>
          </w:p>
        </w:tc>
        <w:tc>
          <w:tcPr>
            <w:tcW w:w="997" w:type="dxa"/>
            <w:shd w:val="clear" w:color="auto" w:fill="auto"/>
          </w:tcPr>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sz w:val="18"/>
                <w:szCs w:val="18"/>
              </w:rPr>
              <w:t>0</w:t>
            </w:r>
          </w:p>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b/>
                <w:bCs/>
                <w:sz w:val="18"/>
                <w:szCs w:val="18"/>
              </w:rPr>
              <w:t>0</w:t>
            </w:r>
          </w:p>
        </w:tc>
        <w:tc>
          <w:tcPr>
            <w:tcW w:w="1092" w:type="dxa"/>
            <w:shd w:val="clear" w:color="auto" w:fill="auto"/>
          </w:tcPr>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sz w:val="18"/>
                <w:szCs w:val="18"/>
              </w:rPr>
              <w:t>0</w:t>
            </w:r>
          </w:p>
          <w:p w:rsidR="00B61D6C" w:rsidRPr="00AB6D74" w:rsidRDefault="00B61D6C" w:rsidP="00510B05">
            <w:pPr>
              <w:jc w:val="both"/>
              <w:rPr>
                <w:sz w:val="18"/>
                <w:szCs w:val="18"/>
              </w:rPr>
            </w:pPr>
          </w:p>
          <w:p w:rsidR="00B61D6C" w:rsidRPr="00AB6D74" w:rsidRDefault="00B61D6C" w:rsidP="00510B05">
            <w:pPr>
              <w:jc w:val="both"/>
              <w:rPr>
                <w:sz w:val="18"/>
                <w:szCs w:val="18"/>
              </w:rPr>
            </w:pPr>
            <w:r w:rsidRPr="00AB6D74">
              <w:rPr>
                <w:b/>
                <w:bCs/>
                <w:sz w:val="18"/>
                <w:szCs w:val="18"/>
              </w:rPr>
              <w:t>0</w:t>
            </w:r>
          </w:p>
        </w:tc>
        <w:tc>
          <w:tcPr>
            <w:tcW w:w="1101" w:type="dxa"/>
            <w:shd w:val="clear" w:color="auto" w:fill="auto"/>
          </w:tcPr>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sz w:val="18"/>
                <w:szCs w:val="18"/>
              </w:rPr>
              <w:t>657,00</w:t>
            </w:r>
          </w:p>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b/>
                <w:bCs/>
                <w:sz w:val="18"/>
                <w:szCs w:val="18"/>
              </w:rPr>
              <w:t>657,00</w:t>
            </w:r>
          </w:p>
        </w:tc>
        <w:tc>
          <w:tcPr>
            <w:tcW w:w="1123" w:type="dxa"/>
            <w:shd w:val="clear" w:color="auto" w:fill="auto"/>
          </w:tcPr>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sz w:val="18"/>
                <w:szCs w:val="18"/>
              </w:rPr>
              <w:t>0</w:t>
            </w:r>
          </w:p>
        </w:tc>
        <w:tc>
          <w:tcPr>
            <w:tcW w:w="1358" w:type="dxa"/>
            <w:shd w:val="clear" w:color="auto" w:fill="auto"/>
          </w:tcPr>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sz w:val="18"/>
                <w:szCs w:val="18"/>
              </w:rPr>
              <w:t>0</w:t>
            </w:r>
          </w:p>
        </w:tc>
        <w:tc>
          <w:tcPr>
            <w:tcW w:w="1099" w:type="dxa"/>
            <w:shd w:val="clear" w:color="auto" w:fill="auto"/>
          </w:tcPr>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sz w:val="18"/>
                <w:szCs w:val="18"/>
              </w:rPr>
              <w:t>657,00</w:t>
            </w:r>
          </w:p>
          <w:p w:rsidR="00B61D6C" w:rsidRPr="00AB6D74" w:rsidRDefault="00B61D6C" w:rsidP="00510B05">
            <w:pPr>
              <w:autoSpaceDE w:val="0"/>
              <w:autoSpaceDN w:val="0"/>
              <w:adjustRightInd w:val="0"/>
              <w:jc w:val="both"/>
              <w:rPr>
                <w:sz w:val="18"/>
                <w:szCs w:val="18"/>
              </w:rPr>
            </w:pPr>
          </w:p>
          <w:p w:rsidR="00B61D6C" w:rsidRPr="00AB6D74" w:rsidRDefault="00B61D6C" w:rsidP="00510B05">
            <w:pPr>
              <w:autoSpaceDE w:val="0"/>
              <w:autoSpaceDN w:val="0"/>
              <w:adjustRightInd w:val="0"/>
              <w:jc w:val="both"/>
              <w:rPr>
                <w:sz w:val="18"/>
                <w:szCs w:val="18"/>
              </w:rPr>
            </w:pPr>
            <w:r w:rsidRPr="00AB6D74">
              <w:rPr>
                <w:b/>
                <w:bCs/>
                <w:sz w:val="18"/>
                <w:szCs w:val="18"/>
              </w:rPr>
              <w:t>657,00</w:t>
            </w:r>
          </w:p>
        </w:tc>
      </w:tr>
      <w:tr w:rsidR="00644605" w:rsidRPr="00AB6D74" w:rsidTr="00644605">
        <w:trPr>
          <w:trHeight w:val="786"/>
          <w:tblCellSpacing w:w="20" w:type="dxa"/>
        </w:trPr>
        <w:tc>
          <w:tcPr>
            <w:tcW w:w="1905" w:type="dxa"/>
            <w:shd w:val="clear" w:color="auto" w:fill="auto"/>
          </w:tcPr>
          <w:p w:rsidR="00644605" w:rsidRPr="00AB6D74" w:rsidRDefault="00644605" w:rsidP="00510B05">
            <w:pPr>
              <w:autoSpaceDE w:val="0"/>
              <w:autoSpaceDN w:val="0"/>
              <w:adjustRightInd w:val="0"/>
              <w:jc w:val="both"/>
              <w:rPr>
                <w:b/>
                <w:bCs/>
                <w:sz w:val="18"/>
                <w:szCs w:val="18"/>
              </w:rPr>
            </w:pPr>
            <w:r w:rsidRPr="00AB6D74">
              <w:rPr>
                <w:b/>
                <w:bCs/>
                <w:sz w:val="18"/>
                <w:szCs w:val="18"/>
              </w:rPr>
              <w:t>Amortización acumulada:</w:t>
            </w:r>
          </w:p>
          <w:p w:rsidR="00644605" w:rsidRPr="00AB6D74" w:rsidRDefault="00644605" w:rsidP="00510B05">
            <w:pPr>
              <w:autoSpaceDE w:val="0"/>
              <w:autoSpaceDN w:val="0"/>
              <w:adjustRightInd w:val="0"/>
              <w:jc w:val="both"/>
              <w:rPr>
                <w:b/>
                <w:bCs/>
                <w:sz w:val="18"/>
                <w:szCs w:val="18"/>
              </w:rPr>
            </w:pPr>
            <w:r w:rsidRPr="00AB6D74">
              <w:rPr>
                <w:sz w:val="18"/>
                <w:szCs w:val="18"/>
              </w:rPr>
              <w:t>Equipos para proceso de información</w:t>
            </w:r>
          </w:p>
        </w:tc>
        <w:tc>
          <w:tcPr>
            <w:tcW w:w="961" w:type="dxa"/>
            <w:shd w:val="clear" w:color="auto" w:fill="auto"/>
          </w:tcPr>
          <w:p w:rsidR="00644605" w:rsidRPr="00AB6D74" w:rsidRDefault="00644605" w:rsidP="00D45A63">
            <w:pPr>
              <w:autoSpaceDE w:val="0"/>
              <w:autoSpaceDN w:val="0"/>
              <w:adjustRightInd w:val="0"/>
              <w:jc w:val="both"/>
              <w:rPr>
                <w:sz w:val="18"/>
                <w:szCs w:val="18"/>
              </w:rPr>
            </w:pPr>
          </w:p>
          <w:p w:rsidR="00644605" w:rsidRPr="00AB6D74" w:rsidRDefault="00644605" w:rsidP="00D45A63">
            <w:pPr>
              <w:autoSpaceDE w:val="0"/>
              <w:autoSpaceDN w:val="0"/>
              <w:adjustRightInd w:val="0"/>
              <w:jc w:val="both"/>
              <w:rPr>
                <w:sz w:val="18"/>
                <w:szCs w:val="18"/>
              </w:rPr>
            </w:pPr>
          </w:p>
          <w:p w:rsidR="00644605" w:rsidRPr="00AB6D74" w:rsidRDefault="00644605" w:rsidP="00D45A63">
            <w:pPr>
              <w:autoSpaceDE w:val="0"/>
              <w:autoSpaceDN w:val="0"/>
              <w:adjustRightInd w:val="0"/>
              <w:jc w:val="both"/>
              <w:rPr>
                <w:sz w:val="18"/>
                <w:szCs w:val="18"/>
              </w:rPr>
            </w:pPr>
            <w:r w:rsidRPr="00AB6D74">
              <w:rPr>
                <w:sz w:val="18"/>
                <w:szCs w:val="18"/>
              </w:rPr>
              <w:t>(4</w:t>
            </w:r>
            <w:r w:rsidR="00BC4D80">
              <w:rPr>
                <w:sz w:val="18"/>
                <w:szCs w:val="18"/>
              </w:rPr>
              <w:t>52</w:t>
            </w:r>
            <w:r w:rsidRPr="00AB6D74">
              <w:rPr>
                <w:sz w:val="18"/>
                <w:szCs w:val="18"/>
              </w:rPr>
              <w:t>,</w:t>
            </w:r>
            <w:r w:rsidR="00BC4D80">
              <w:rPr>
                <w:sz w:val="18"/>
                <w:szCs w:val="18"/>
              </w:rPr>
              <w:t>25</w:t>
            </w:r>
            <w:r w:rsidRPr="00AB6D74">
              <w:rPr>
                <w:sz w:val="18"/>
                <w:szCs w:val="18"/>
              </w:rPr>
              <w:t>)</w:t>
            </w:r>
          </w:p>
        </w:tc>
        <w:tc>
          <w:tcPr>
            <w:tcW w:w="997" w:type="dxa"/>
            <w:shd w:val="clear" w:color="auto" w:fill="auto"/>
          </w:tcPr>
          <w:p w:rsidR="00644605" w:rsidRPr="00AB6D74" w:rsidRDefault="00644605" w:rsidP="00D45A63">
            <w:pPr>
              <w:autoSpaceDE w:val="0"/>
              <w:autoSpaceDN w:val="0"/>
              <w:adjustRightInd w:val="0"/>
              <w:jc w:val="both"/>
              <w:rPr>
                <w:sz w:val="18"/>
                <w:szCs w:val="18"/>
              </w:rPr>
            </w:pPr>
          </w:p>
          <w:p w:rsidR="00644605" w:rsidRPr="00AB6D74" w:rsidRDefault="00644605" w:rsidP="00D45A63">
            <w:pPr>
              <w:autoSpaceDE w:val="0"/>
              <w:autoSpaceDN w:val="0"/>
              <w:adjustRightInd w:val="0"/>
              <w:jc w:val="both"/>
              <w:rPr>
                <w:sz w:val="18"/>
                <w:szCs w:val="18"/>
              </w:rPr>
            </w:pPr>
          </w:p>
          <w:p w:rsidR="00644605" w:rsidRPr="00AB6D74" w:rsidRDefault="00644605" w:rsidP="00D45A63">
            <w:pPr>
              <w:autoSpaceDE w:val="0"/>
              <w:autoSpaceDN w:val="0"/>
              <w:adjustRightInd w:val="0"/>
              <w:jc w:val="both"/>
              <w:rPr>
                <w:sz w:val="18"/>
                <w:szCs w:val="18"/>
              </w:rPr>
            </w:pPr>
            <w:r w:rsidRPr="00AB6D74">
              <w:rPr>
                <w:sz w:val="18"/>
                <w:szCs w:val="18"/>
              </w:rPr>
              <w:t>(164,25)</w:t>
            </w:r>
          </w:p>
        </w:tc>
        <w:tc>
          <w:tcPr>
            <w:tcW w:w="1092" w:type="dxa"/>
            <w:shd w:val="clear" w:color="auto" w:fill="auto"/>
          </w:tcPr>
          <w:p w:rsidR="00644605" w:rsidRPr="00AB6D74" w:rsidRDefault="00644605" w:rsidP="00510B05">
            <w:pPr>
              <w:autoSpaceDE w:val="0"/>
              <w:autoSpaceDN w:val="0"/>
              <w:adjustRightInd w:val="0"/>
              <w:jc w:val="both"/>
              <w:rPr>
                <w:sz w:val="18"/>
                <w:szCs w:val="18"/>
              </w:rPr>
            </w:pPr>
          </w:p>
        </w:tc>
        <w:tc>
          <w:tcPr>
            <w:tcW w:w="1101" w:type="dxa"/>
            <w:shd w:val="clear" w:color="auto" w:fill="auto"/>
          </w:tcPr>
          <w:p w:rsidR="00644605" w:rsidRDefault="00644605" w:rsidP="00510B05">
            <w:pPr>
              <w:autoSpaceDE w:val="0"/>
              <w:autoSpaceDN w:val="0"/>
              <w:adjustRightInd w:val="0"/>
              <w:jc w:val="both"/>
              <w:rPr>
                <w:sz w:val="18"/>
                <w:szCs w:val="18"/>
              </w:rPr>
            </w:pPr>
          </w:p>
          <w:p w:rsidR="00644605" w:rsidRDefault="00644605" w:rsidP="00510B05">
            <w:pPr>
              <w:autoSpaceDE w:val="0"/>
              <w:autoSpaceDN w:val="0"/>
              <w:adjustRightInd w:val="0"/>
              <w:jc w:val="both"/>
              <w:rPr>
                <w:sz w:val="18"/>
                <w:szCs w:val="18"/>
              </w:rPr>
            </w:pPr>
          </w:p>
          <w:p w:rsidR="00644605" w:rsidRPr="00AB6D74" w:rsidRDefault="00644605" w:rsidP="00510B05">
            <w:pPr>
              <w:autoSpaceDE w:val="0"/>
              <w:autoSpaceDN w:val="0"/>
              <w:adjustRightInd w:val="0"/>
              <w:jc w:val="both"/>
              <w:rPr>
                <w:sz w:val="18"/>
                <w:szCs w:val="18"/>
              </w:rPr>
            </w:pPr>
            <w:r>
              <w:rPr>
                <w:sz w:val="18"/>
                <w:szCs w:val="18"/>
              </w:rPr>
              <w:t>(6</w:t>
            </w:r>
            <w:r w:rsidR="00BC4D80">
              <w:rPr>
                <w:sz w:val="18"/>
                <w:szCs w:val="18"/>
              </w:rPr>
              <w:t>1</w:t>
            </w:r>
            <w:r>
              <w:rPr>
                <w:sz w:val="18"/>
                <w:szCs w:val="18"/>
              </w:rPr>
              <w:t>6,</w:t>
            </w:r>
            <w:r w:rsidR="00BC4D80">
              <w:rPr>
                <w:sz w:val="18"/>
                <w:szCs w:val="18"/>
              </w:rPr>
              <w:t>50</w:t>
            </w:r>
            <w:r>
              <w:rPr>
                <w:sz w:val="18"/>
                <w:szCs w:val="18"/>
              </w:rPr>
              <w:t>)</w:t>
            </w:r>
          </w:p>
        </w:tc>
        <w:tc>
          <w:tcPr>
            <w:tcW w:w="1123" w:type="dxa"/>
            <w:shd w:val="clear" w:color="auto" w:fill="auto"/>
          </w:tcPr>
          <w:p w:rsidR="00644605" w:rsidRDefault="00644605" w:rsidP="00510B05">
            <w:pPr>
              <w:autoSpaceDE w:val="0"/>
              <w:autoSpaceDN w:val="0"/>
              <w:adjustRightInd w:val="0"/>
              <w:jc w:val="both"/>
              <w:rPr>
                <w:sz w:val="18"/>
                <w:szCs w:val="18"/>
              </w:rPr>
            </w:pPr>
          </w:p>
          <w:p w:rsidR="00644605" w:rsidRDefault="00644605" w:rsidP="00510B05">
            <w:pPr>
              <w:autoSpaceDE w:val="0"/>
              <w:autoSpaceDN w:val="0"/>
              <w:adjustRightInd w:val="0"/>
              <w:jc w:val="both"/>
              <w:rPr>
                <w:sz w:val="18"/>
                <w:szCs w:val="18"/>
              </w:rPr>
            </w:pPr>
          </w:p>
          <w:p w:rsidR="00644605" w:rsidRPr="00AB6D74" w:rsidRDefault="00644605" w:rsidP="00510B05">
            <w:pPr>
              <w:autoSpaceDE w:val="0"/>
              <w:autoSpaceDN w:val="0"/>
              <w:adjustRightInd w:val="0"/>
              <w:jc w:val="both"/>
              <w:rPr>
                <w:sz w:val="18"/>
                <w:szCs w:val="18"/>
              </w:rPr>
            </w:pPr>
            <w:r>
              <w:rPr>
                <w:sz w:val="18"/>
                <w:szCs w:val="18"/>
              </w:rPr>
              <w:t>(</w:t>
            </w:r>
            <w:r w:rsidR="00BC4D80">
              <w:rPr>
                <w:sz w:val="18"/>
                <w:szCs w:val="18"/>
              </w:rPr>
              <w:t>40,50</w:t>
            </w:r>
            <w:r>
              <w:rPr>
                <w:sz w:val="18"/>
                <w:szCs w:val="18"/>
              </w:rPr>
              <w:t>)</w:t>
            </w:r>
          </w:p>
        </w:tc>
        <w:tc>
          <w:tcPr>
            <w:tcW w:w="1358" w:type="dxa"/>
            <w:shd w:val="clear" w:color="auto" w:fill="auto"/>
          </w:tcPr>
          <w:p w:rsidR="00644605" w:rsidRPr="00AB6D74" w:rsidRDefault="00644605" w:rsidP="00510B05">
            <w:pPr>
              <w:autoSpaceDE w:val="0"/>
              <w:autoSpaceDN w:val="0"/>
              <w:adjustRightInd w:val="0"/>
              <w:jc w:val="both"/>
              <w:rPr>
                <w:sz w:val="18"/>
                <w:szCs w:val="18"/>
              </w:rPr>
            </w:pPr>
          </w:p>
        </w:tc>
        <w:tc>
          <w:tcPr>
            <w:tcW w:w="1099" w:type="dxa"/>
            <w:shd w:val="clear" w:color="auto" w:fill="auto"/>
          </w:tcPr>
          <w:p w:rsidR="00644605" w:rsidRPr="00AB6D74" w:rsidRDefault="00644605" w:rsidP="00510B05">
            <w:pPr>
              <w:autoSpaceDE w:val="0"/>
              <w:autoSpaceDN w:val="0"/>
              <w:adjustRightInd w:val="0"/>
              <w:jc w:val="both"/>
              <w:rPr>
                <w:sz w:val="18"/>
                <w:szCs w:val="18"/>
              </w:rPr>
            </w:pPr>
          </w:p>
          <w:p w:rsidR="00644605" w:rsidRPr="00AB6D74" w:rsidRDefault="00644605" w:rsidP="00510B05">
            <w:pPr>
              <w:autoSpaceDE w:val="0"/>
              <w:autoSpaceDN w:val="0"/>
              <w:adjustRightInd w:val="0"/>
              <w:jc w:val="both"/>
              <w:rPr>
                <w:sz w:val="18"/>
                <w:szCs w:val="18"/>
              </w:rPr>
            </w:pPr>
          </w:p>
          <w:p w:rsidR="00644605" w:rsidRPr="00AB6D74" w:rsidRDefault="00644605" w:rsidP="00510B05">
            <w:pPr>
              <w:autoSpaceDE w:val="0"/>
              <w:autoSpaceDN w:val="0"/>
              <w:adjustRightInd w:val="0"/>
              <w:jc w:val="both"/>
              <w:rPr>
                <w:sz w:val="18"/>
                <w:szCs w:val="18"/>
              </w:rPr>
            </w:pPr>
            <w:r w:rsidRPr="00AB6D74">
              <w:rPr>
                <w:sz w:val="18"/>
                <w:szCs w:val="18"/>
              </w:rPr>
              <w:t>(</w:t>
            </w:r>
            <w:r>
              <w:rPr>
                <w:sz w:val="18"/>
                <w:szCs w:val="18"/>
              </w:rPr>
              <w:t>657,00</w:t>
            </w:r>
            <w:r w:rsidRPr="00AB6D74">
              <w:rPr>
                <w:sz w:val="18"/>
                <w:szCs w:val="18"/>
              </w:rPr>
              <w:t>)</w:t>
            </w:r>
          </w:p>
        </w:tc>
      </w:tr>
      <w:tr w:rsidR="00B61D6C" w:rsidRPr="00AB6D74" w:rsidTr="00644605">
        <w:trPr>
          <w:trHeight w:val="392"/>
          <w:tblCellSpacing w:w="20" w:type="dxa"/>
        </w:trPr>
        <w:tc>
          <w:tcPr>
            <w:tcW w:w="1905" w:type="dxa"/>
            <w:shd w:val="clear" w:color="auto" w:fill="auto"/>
          </w:tcPr>
          <w:p w:rsidR="00B61D6C" w:rsidRPr="00AB6D74" w:rsidRDefault="00B61D6C" w:rsidP="00510B05">
            <w:pPr>
              <w:autoSpaceDE w:val="0"/>
              <w:autoSpaceDN w:val="0"/>
              <w:adjustRightInd w:val="0"/>
              <w:jc w:val="both"/>
              <w:rPr>
                <w:b/>
                <w:bCs/>
                <w:sz w:val="18"/>
                <w:szCs w:val="18"/>
                <w:u w:val="single"/>
              </w:rPr>
            </w:pPr>
            <w:r w:rsidRPr="00AB6D74">
              <w:rPr>
                <w:b/>
                <w:bCs/>
                <w:sz w:val="18"/>
                <w:szCs w:val="18"/>
                <w:u w:val="single"/>
              </w:rPr>
              <w:t>Inmovilizaciones materiales netas</w:t>
            </w:r>
          </w:p>
        </w:tc>
        <w:tc>
          <w:tcPr>
            <w:tcW w:w="961" w:type="dxa"/>
            <w:shd w:val="clear" w:color="auto" w:fill="auto"/>
          </w:tcPr>
          <w:p w:rsidR="0080776E" w:rsidRPr="00AB6D74" w:rsidRDefault="0080776E" w:rsidP="00510B05">
            <w:pPr>
              <w:autoSpaceDE w:val="0"/>
              <w:autoSpaceDN w:val="0"/>
              <w:adjustRightInd w:val="0"/>
              <w:jc w:val="both"/>
              <w:rPr>
                <w:sz w:val="18"/>
                <w:szCs w:val="18"/>
                <w:u w:val="single"/>
              </w:rPr>
            </w:pPr>
          </w:p>
          <w:p w:rsidR="00B61D6C" w:rsidRPr="00AB6D74" w:rsidRDefault="00BC4D80" w:rsidP="00510B05">
            <w:pPr>
              <w:autoSpaceDE w:val="0"/>
              <w:autoSpaceDN w:val="0"/>
              <w:adjustRightInd w:val="0"/>
              <w:jc w:val="both"/>
              <w:rPr>
                <w:sz w:val="18"/>
                <w:szCs w:val="18"/>
                <w:u w:val="single"/>
              </w:rPr>
            </w:pPr>
            <w:r>
              <w:rPr>
                <w:sz w:val="18"/>
                <w:szCs w:val="18"/>
                <w:u w:val="single"/>
              </w:rPr>
              <w:t>204</w:t>
            </w:r>
            <w:r w:rsidR="00644605">
              <w:rPr>
                <w:sz w:val="18"/>
                <w:szCs w:val="18"/>
                <w:u w:val="single"/>
              </w:rPr>
              <w:t>,</w:t>
            </w:r>
            <w:r>
              <w:rPr>
                <w:sz w:val="18"/>
                <w:szCs w:val="18"/>
                <w:u w:val="single"/>
              </w:rPr>
              <w:t>75</w:t>
            </w:r>
          </w:p>
        </w:tc>
        <w:tc>
          <w:tcPr>
            <w:tcW w:w="997" w:type="dxa"/>
            <w:shd w:val="clear" w:color="auto" w:fill="auto"/>
          </w:tcPr>
          <w:p w:rsidR="00B61D6C" w:rsidRPr="00AB6D74" w:rsidRDefault="00B61D6C" w:rsidP="00510B05">
            <w:pPr>
              <w:autoSpaceDE w:val="0"/>
              <w:autoSpaceDN w:val="0"/>
              <w:adjustRightInd w:val="0"/>
              <w:jc w:val="both"/>
              <w:rPr>
                <w:sz w:val="18"/>
                <w:szCs w:val="18"/>
                <w:u w:val="single"/>
              </w:rPr>
            </w:pPr>
          </w:p>
        </w:tc>
        <w:tc>
          <w:tcPr>
            <w:tcW w:w="1092" w:type="dxa"/>
            <w:shd w:val="clear" w:color="auto" w:fill="auto"/>
          </w:tcPr>
          <w:p w:rsidR="00B61D6C" w:rsidRPr="00AB6D74" w:rsidRDefault="00B61D6C" w:rsidP="00510B05">
            <w:pPr>
              <w:autoSpaceDE w:val="0"/>
              <w:autoSpaceDN w:val="0"/>
              <w:adjustRightInd w:val="0"/>
              <w:jc w:val="both"/>
              <w:rPr>
                <w:sz w:val="18"/>
                <w:szCs w:val="18"/>
                <w:u w:val="single"/>
              </w:rPr>
            </w:pPr>
          </w:p>
        </w:tc>
        <w:tc>
          <w:tcPr>
            <w:tcW w:w="1101" w:type="dxa"/>
            <w:shd w:val="clear" w:color="auto" w:fill="auto"/>
          </w:tcPr>
          <w:p w:rsidR="00CF49E3" w:rsidRDefault="00CF49E3" w:rsidP="00510B05">
            <w:pPr>
              <w:autoSpaceDE w:val="0"/>
              <w:autoSpaceDN w:val="0"/>
              <w:adjustRightInd w:val="0"/>
              <w:jc w:val="both"/>
              <w:rPr>
                <w:sz w:val="18"/>
                <w:szCs w:val="18"/>
                <w:u w:val="single"/>
              </w:rPr>
            </w:pPr>
          </w:p>
          <w:p w:rsidR="00B61D6C" w:rsidRPr="00AB6D74" w:rsidRDefault="00BC4D80" w:rsidP="00510B05">
            <w:pPr>
              <w:autoSpaceDE w:val="0"/>
              <w:autoSpaceDN w:val="0"/>
              <w:adjustRightInd w:val="0"/>
              <w:jc w:val="both"/>
              <w:rPr>
                <w:sz w:val="18"/>
                <w:szCs w:val="18"/>
                <w:u w:val="single"/>
              </w:rPr>
            </w:pPr>
            <w:r>
              <w:rPr>
                <w:sz w:val="18"/>
                <w:szCs w:val="18"/>
                <w:u w:val="single"/>
              </w:rPr>
              <w:t>40</w:t>
            </w:r>
            <w:r w:rsidR="00644605">
              <w:rPr>
                <w:sz w:val="18"/>
                <w:szCs w:val="18"/>
                <w:u w:val="single"/>
              </w:rPr>
              <w:t>,</w:t>
            </w:r>
            <w:r w:rsidR="00CF49E3">
              <w:rPr>
                <w:sz w:val="18"/>
                <w:szCs w:val="18"/>
                <w:u w:val="single"/>
              </w:rPr>
              <w:t>5</w:t>
            </w:r>
            <w:r>
              <w:rPr>
                <w:sz w:val="18"/>
                <w:szCs w:val="18"/>
                <w:u w:val="single"/>
              </w:rPr>
              <w:t>0</w:t>
            </w:r>
          </w:p>
        </w:tc>
        <w:tc>
          <w:tcPr>
            <w:tcW w:w="1123" w:type="dxa"/>
            <w:shd w:val="clear" w:color="auto" w:fill="auto"/>
          </w:tcPr>
          <w:p w:rsidR="00B61D6C" w:rsidRPr="00AB6D74" w:rsidRDefault="00B61D6C" w:rsidP="00510B05">
            <w:pPr>
              <w:autoSpaceDE w:val="0"/>
              <w:autoSpaceDN w:val="0"/>
              <w:adjustRightInd w:val="0"/>
              <w:jc w:val="both"/>
              <w:rPr>
                <w:sz w:val="18"/>
                <w:szCs w:val="18"/>
                <w:u w:val="single"/>
              </w:rPr>
            </w:pPr>
          </w:p>
        </w:tc>
        <w:tc>
          <w:tcPr>
            <w:tcW w:w="1358" w:type="dxa"/>
            <w:shd w:val="clear" w:color="auto" w:fill="auto"/>
          </w:tcPr>
          <w:p w:rsidR="00B61D6C" w:rsidRPr="00AB6D74" w:rsidRDefault="00B61D6C" w:rsidP="00510B05">
            <w:pPr>
              <w:autoSpaceDE w:val="0"/>
              <w:autoSpaceDN w:val="0"/>
              <w:adjustRightInd w:val="0"/>
              <w:jc w:val="both"/>
              <w:rPr>
                <w:sz w:val="18"/>
                <w:szCs w:val="18"/>
                <w:u w:val="single"/>
              </w:rPr>
            </w:pPr>
          </w:p>
        </w:tc>
        <w:tc>
          <w:tcPr>
            <w:tcW w:w="1099" w:type="dxa"/>
            <w:shd w:val="clear" w:color="auto" w:fill="auto"/>
          </w:tcPr>
          <w:p w:rsidR="0080776E" w:rsidRPr="00AB6D74" w:rsidRDefault="0080776E" w:rsidP="00510B05">
            <w:pPr>
              <w:autoSpaceDE w:val="0"/>
              <w:autoSpaceDN w:val="0"/>
              <w:adjustRightInd w:val="0"/>
              <w:jc w:val="both"/>
              <w:rPr>
                <w:sz w:val="18"/>
                <w:szCs w:val="18"/>
                <w:u w:val="single"/>
              </w:rPr>
            </w:pPr>
          </w:p>
          <w:p w:rsidR="00B61D6C" w:rsidRPr="00AB6D74" w:rsidRDefault="00BC4D80" w:rsidP="00510B05">
            <w:pPr>
              <w:autoSpaceDE w:val="0"/>
              <w:autoSpaceDN w:val="0"/>
              <w:adjustRightInd w:val="0"/>
              <w:jc w:val="both"/>
              <w:rPr>
                <w:sz w:val="18"/>
                <w:szCs w:val="18"/>
                <w:u w:val="single"/>
              </w:rPr>
            </w:pPr>
            <w:r>
              <w:rPr>
                <w:sz w:val="18"/>
                <w:szCs w:val="18"/>
                <w:u w:val="single"/>
              </w:rPr>
              <w:t>0</w:t>
            </w:r>
            <w:r w:rsidR="0080776E" w:rsidRPr="00AB6D74">
              <w:rPr>
                <w:sz w:val="18"/>
                <w:szCs w:val="18"/>
                <w:u w:val="single"/>
              </w:rPr>
              <w:t>,</w:t>
            </w:r>
            <w:r>
              <w:rPr>
                <w:sz w:val="18"/>
                <w:szCs w:val="18"/>
                <w:u w:val="single"/>
              </w:rPr>
              <w:t>00</w:t>
            </w:r>
          </w:p>
        </w:tc>
      </w:tr>
    </w:tbl>
    <w:p w:rsidR="00E8195A" w:rsidRDefault="00E8195A" w:rsidP="00510B05">
      <w:pPr>
        <w:autoSpaceDE w:val="0"/>
        <w:autoSpaceDN w:val="0"/>
        <w:adjustRightInd w:val="0"/>
        <w:jc w:val="both"/>
        <w:rPr>
          <w:b/>
          <w:bCs/>
          <w:sz w:val="22"/>
          <w:szCs w:val="22"/>
        </w:rPr>
      </w:pPr>
    </w:p>
    <w:p w:rsidR="00510B05" w:rsidRDefault="00510B05" w:rsidP="00510B05">
      <w:pPr>
        <w:autoSpaceDE w:val="0"/>
        <w:autoSpaceDN w:val="0"/>
        <w:adjustRightInd w:val="0"/>
        <w:jc w:val="both"/>
        <w:rPr>
          <w:b/>
          <w:bCs/>
          <w:sz w:val="22"/>
          <w:szCs w:val="22"/>
        </w:rPr>
      </w:pPr>
    </w:p>
    <w:p w:rsidR="0080776E" w:rsidRDefault="0080776E" w:rsidP="00510B05">
      <w:pPr>
        <w:autoSpaceDE w:val="0"/>
        <w:autoSpaceDN w:val="0"/>
        <w:adjustRightInd w:val="0"/>
        <w:jc w:val="both"/>
        <w:rPr>
          <w:b/>
          <w:bCs/>
          <w:sz w:val="22"/>
          <w:szCs w:val="22"/>
        </w:rPr>
      </w:pPr>
      <w:r>
        <w:rPr>
          <w:b/>
          <w:bCs/>
          <w:sz w:val="22"/>
          <w:szCs w:val="22"/>
        </w:rPr>
        <w:t>NOTA 6.ARRENDAMIENTOS Y OTRAS OPERACIONES DE NATURALEZA SIMILAR</w:t>
      </w:r>
    </w:p>
    <w:p w:rsidR="0080776E" w:rsidRDefault="0080776E" w:rsidP="00510B05">
      <w:pPr>
        <w:autoSpaceDE w:val="0"/>
        <w:autoSpaceDN w:val="0"/>
        <w:adjustRightInd w:val="0"/>
        <w:jc w:val="both"/>
        <w:rPr>
          <w:sz w:val="22"/>
          <w:szCs w:val="22"/>
        </w:rPr>
      </w:pPr>
      <w:r>
        <w:rPr>
          <w:sz w:val="22"/>
          <w:szCs w:val="22"/>
        </w:rPr>
        <w:t>El cargo a los resultados de</w:t>
      </w:r>
      <w:r w:rsidR="00C94ED7">
        <w:rPr>
          <w:sz w:val="22"/>
          <w:szCs w:val="22"/>
        </w:rPr>
        <w:t>l ejercicio 2014</w:t>
      </w:r>
      <w:r>
        <w:rPr>
          <w:sz w:val="22"/>
          <w:szCs w:val="22"/>
        </w:rPr>
        <w:t xml:space="preserve"> en concepto de arrendamientos de autocares ha ascendido a 2.361,15 euros (2.046,84 euros en 2012).</w:t>
      </w:r>
    </w:p>
    <w:p w:rsidR="00B22E53" w:rsidRDefault="00B22E53" w:rsidP="00510B05">
      <w:pPr>
        <w:autoSpaceDE w:val="0"/>
        <w:autoSpaceDN w:val="0"/>
        <w:adjustRightInd w:val="0"/>
        <w:jc w:val="both"/>
        <w:rPr>
          <w:sz w:val="22"/>
          <w:szCs w:val="22"/>
        </w:rPr>
      </w:pPr>
    </w:p>
    <w:p w:rsidR="0080776E" w:rsidRDefault="0080776E" w:rsidP="00510B05">
      <w:pPr>
        <w:autoSpaceDE w:val="0"/>
        <w:autoSpaceDN w:val="0"/>
        <w:adjustRightInd w:val="0"/>
        <w:jc w:val="both"/>
        <w:rPr>
          <w:b/>
          <w:bCs/>
          <w:sz w:val="22"/>
          <w:szCs w:val="22"/>
        </w:rPr>
      </w:pPr>
      <w:r>
        <w:rPr>
          <w:b/>
          <w:bCs/>
          <w:sz w:val="22"/>
          <w:szCs w:val="22"/>
        </w:rPr>
        <w:t>NOTA 7. INSTRUMENTOS FINANCIEROS</w:t>
      </w:r>
    </w:p>
    <w:p w:rsidR="0080776E" w:rsidRDefault="0080776E" w:rsidP="00510B05">
      <w:pPr>
        <w:autoSpaceDE w:val="0"/>
        <w:autoSpaceDN w:val="0"/>
        <w:adjustRightInd w:val="0"/>
        <w:jc w:val="both"/>
        <w:rPr>
          <w:b/>
          <w:bCs/>
          <w:sz w:val="22"/>
          <w:szCs w:val="22"/>
        </w:rPr>
      </w:pPr>
      <w:r>
        <w:rPr>
          <w:b/>
          <w:bCs/>
          <w:sz w:val="22"/>
          <w:szCs w:val="22"/>
        </w:rPr>
        <w:t>a) Activos financieros</w:t>
      </w:r>
    </w:p>
    <w:p w:rsidR="00B35A37" w:rsidRDefault="00B35A37" w:rsidP="00510B05">
      <w:pPr>
        <w:autoSpaceDE w:val="0"/>
        <w:autoSpaceDN w:val="0"/>
        <w:adjustRightInd w:val="0"/>
        <w:jc w:val="both"/>
        <w:rPr>
          <w:b/>
          <w:bCs/>
          <w:sz w:val="22"/>
          <w:szCs w:val="22"/>
        </w:rPr>
      </w:pPr>
    </w:p>
    <w:p w:rsidR="0080776E" w:rsidRDefault="0080776E" w:rsidP="00510B05">
      <w:pPr>
        <w:autoSpaceDE w:val="0"/>
        <w:autoSpaceDN w:val="0"/>
        <w:adjustRightInd w:val="0"/>
        <w:jc w:val="both"/>
        <w:rPr>
          <w:b/>
          <w:bCs/>
          <w:sz w:val="22"/>
          <w:szCs w:val="22"/>
        </w:rPr>
      </w:pPr>
      <w:r>
        <w:rPr>
          <w:b/>
          <w:bCs/>
          <w:sz w:val="22"/>
          <w:szCs w:val="22"/>
        </w:rPr>
        <w:t>a.1) Préstamos y partidas a cobrar.</w:t>
      </w:r>
    </w:p>
    <w:p w:rsidR="00E8195A" w:rsidRDefault="00C94ED7" w:rsidP="00510B05">
      <w:pPr>
        <w:autoSpaceDE w:val="0"/>
        <w:autoSpaceDN w:val="0"/>
        <w:adjustRightInd w:val="0"/>
        <w:jc w:val="both"/>
        <w:rPr>
          <w:sz w:val="22"/>
          <w:szCs w:val="22"/>
        </w:rPr>
      </w:pPr>
      <w:r>
        <w:rPr>
          <w:sz w:val="22"/>
          <w:szCs w:val="22"/>
        </w:rPr>
        <w:t>En el ejercicio 2014</w:t>
      </w:r>
      <w:r w:rsidR="00E8195A">
        <w:rPr>
          <w:sz w:val="22"/>
          <w:szCs w:val="22"/>
        </w:rPr>
        <w:t xml:space="preserve"> no existen partidas a clasificar en este apartado.</w:t>
      </w:r>
    </w:p>
    <w:p w:rsidR="00E8195A" w:rsidRDefault="00E8195A" w:rsidP="00510B05">
      <w:pPr>
        <w:autoSpaceDE w:val="0"/>
        <w:autoSpaceDN w:val="0"/>
        <w:adjustRightInd w:val="0"/>
        <w:jc w:val="both"/>
        <w:rPr>
          <w:b/>
          <w:bCs/>
          <w:sz w:val="22"/>
          <w:szCs w:val="22"/>
        </w:rPr>
      </w:pPr>
      <w:r>
        <w:rPr>
          <w:b/>
          <w:bCs/>
          <w:sz w:val="22"/>
          <w:szCs w:val="22"/>
        </w:rPr>
        <w:t>a.2) Efectivo y otros activos líquidos equivalentes</w:t>
      </w:r>
    </w:p>
    <w:p w:rsidR="0080776E" w:rsidRDefault="00E8195A" w:rsidP="00510B05">
      <w:pPr>
        <w:autoSpaceDE w:val="0"/>
        <w:autoSpaceDN w:val="0"/>
        <w:adjustRightInd w:val="0"/>
        <w:jc w:val="both"/>
        <w:rPr>
          <w:sz w:val="22"/>
          <w:szCs w:val="22"/>
        </w:rPr>
      </w:pPr>
      <w:r>
        <w:rPr>
          <w:sz w:val="22"/>
          <w:szCs w:val="22"/>
        </w:rPr>
        <w:t>El detalle de dichos activos a 31 de diciembre de 201</w:t>
      </w:r>
      <w:r w:rsidR="00212E57">
        <w:rPr>
          <w:sz w:val="22"/>
          <w:szCs w:val="22"/>
        </w:rPr>
        <w:t>4</w:t>
      </w:r>
      <w:r>
        <w:rPr>
          <w:sz w:val="22"/>
          <w:szCs w:val="22"/>
        </w:rPr>
        <w:t xml:space="preserve"> y 201</w:t>
      </w:r>
      <w:r w:rsidR="00212E57">
        <w:rPr>
          <w:sz w:val="22"/>
          <w:szCs w:val="22"/>
        </w:rPr>
        <w:t>3</w:t>
      </w:r>
      <w:r>
        <w:rPr>
          <w:sz w:val="22"/>
          <w:szCs w:val="22"/>
        </w:rPr>
        <w:t xml:space="preserve"> es como sigue:</w:t>
      </w:r>
    </w:p>
    <w:p w:rsidR="00212E57" w:rsidRDefault="00212E57" w:rsidP="00510B05">
      <w:pPr>
        <w:autoSpaceDE w:val="0"/>
        <w:autoSpaceDN w:val="0"/>
        <w:adjustRightInd w:val="0"/>
        <w:jc w:val="both"/>
        <w:rPr>
          <w:sz w:val="22"/>
          <w:szCs w:val="22"/>
        </w:rPr>
      </w:pPr>
    </w:p>
    <w:tbl>
      <w:tblPr>
        <w:tblW w:w="0" w:type="auto"/>
        <w:tblCellSpacing w:w="20" w:type="dxa"/>
        <w:tblInd w:w="50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07"/>
        <w:gridCol w:w="1985"/>
        <w:gridCol w:w="1985"/>
      </w:tblGrid>
      <w:tr w:rsidR="00E8195A" w:rsidRPr="00AB6D74" w:rsidTr="00AB6D74">
        <w:trPr>
          <w:tblCellSpacing w:w="20" w:type="dxa"/>
        </w:trPr>
        <w:tc>
          <w:tcPr>
            <w:tcW w:w="1947" w:type="dxa"/>
            <w:shd w:val="clear" w:color="auto" w:fill="auto"/>
          </w:tcPr>
          <w:p w:rsidR="00E8195A" w:rsidRPr="00AB6D74" w:rsidRDefault="00E8195A" w:rsidP="00510B05">
            <w:pPr>
              <w:autoSpaceDE w:val="0"/>
              <w:autoSpaceDN w:val="0"/>
              <w:adjustRightInd w:val="0"/>
              <w:jc w:val="both"/>
              <w:rPr>
                <w:sz w:val="22"/>
                <w:szCs w:val="22"/>
              </w:rPr>
            </w:pPr>
          </w:p>
        </w:tc>
        <w:tc>
          <w:tcPr>
            <w:tcW w:w="1945" w:type="dxa"/>
            <w:shd w:val="clear" w:color="auto" w:fill="auto"/>
          </w:tcPr>
          <w:p w:rsidR="00E8195A" w:rsidRPr="00AB6D74" w:rsidRDefault="00212E57" w:rsidP="00510B05">
            <w:pPr>
              <w:autoSpaceDE w:val="0"/>
              <w:autoSpaceDN w:val="0"/>
              <w:adjustRightInd w:val="0"/>
              <w:jc w:val="both"/>
              <w:rPr>
                <w:b/>
                <w:bCs/>
                <w:sz w:val="22"/>
                <w:szCs w:val="22"/>
              </w:rPr>
            </w:pPr>
            <w:r>
              <w:rPr>
                <w:b/>
                <w:bCs/>
                <w:sz w:val="22"/>
                <w:szCs w:val="22"/>
              </w:rPr>
              <w:t>2014</w:t>
            </w:r>
          </w:p>
        </w:tc>
        <w:tc>
          <w:tcPr>
            <w:tcW w:w="1925" w:type="dxa"/>
            <w:shd w:val="clear" w:color="auto" w:fill="auto"/>
          </w:tcPr>
          <w:p w:rsidR="00E8195A" w:rsidRPr="00AB6D74" w:rsidRDefault="00212E57" w:rsidP="00510B05">
            <w:pPr>
              <w:autoSpaceDE w:val="0"/>
              <w:autoSpaceDN w:val="0"/>
              <w:adjustRightInd w:val="0"/>
              <w:jc w:val="both"/>
              <w:rPr>
                <w:b/>
                <w:bCs/>
                <w:sz w:val="22"/>
                <w:szCs w:val="22"/>
              </w:rPr>
            </w:pPr>
            <w:r>
              <w:rPr>
                <w:b/>
                <w:bCs/>
                <w:sz w:val="22"/>
                <w:szCs w:val="22"/>
              </w:rPr>
              <w:t>2013</w:t>
            </w:r>
          </w:p>
        </w:tc>
      </w:tr>
      <w:tr w:rsidR="00212E57" w:rsidRPr="00AB6D74" w:rsidTr="00AB6D74">
        <w:trPr>
          <w:tblCellSpacing w:w="20" w:type="dxa"/>
        </w:trPr>
        <w:tc>
          <w:tcPr>
            <w:tcW w:w="1947" w:type="dxa"/>
            <w:shd w:val="clear" w:color="auto" w:fill="auto"/>
          </w:tcPr>
          <w:p w:rsidR="00212E57" w:rsidRPr="00AB6D74" w:rsidRDefault="00212E57" w:rsidP="00510B05">
            <w:pPr>
              <w:autoSpaceDE w:val="0"/>
              <w:autoSpaceDN w:val="0"/>
              <w:adjustRightInd w:val="0"/>
              <w:jc w:val="both"/>
              <w:rPr>
                <w:sz w:val="22"/>
                <w:szCs w:val="22"/>
              </w:rPr>
            </w:pPr>
            <w:r w:rsidRPr="00AB6D74">
              <w:rPr>
                <w:sz w:val="22"/>
                <w:szCs w:val="22"/>
              </w:rPr>
              <w:t>Cuentas corrientes</w:t>
            </w:r>
          </w:p>
        </w:tc>
        <w:tc>
          <w:tcPr>
            <w:tcW w:w="1945" w:type="dxa"/>
            <w:shd w:val="clear" w:color="auto" w:fill="auto"/>
          </w:tcPr>
          <w:p w:rsidR="00212E57" w:rsidRPr="00AB6D74" w:rsidRDefault="00212E57" w:rsidP="00510B05">
            <w:pPr>
              <w:autoSpaceDE w:val="0"/>
              <w:autoSpaceDN w:val="0"/>
              <w:adjustRightInd w:val="0"/>
              <w:jc w:val="both"/>
              <w:rPr>
                <w:bCs/>
                <w:sz w:val="22"/>
                <w:szCs w:val="22"/>
              </w:rPr>
            </w:pPr>
            <w:r>
              <w:rPr>
                <w:bCs/>
                <w:sz w:val="22"/>
                <w:szCs w:val="22"/>
              </w:rPr>
              <w:t>14.955,35</w:t>
            </w:r>
          </w:p>
        </w:tc>
        <w:tc>
          <w:tcPr>
            <w:tcW w:w="1925" w:type="dxa"/>
            <w:shd w:val="clear" w:color="auto" w:fill="auto"/>
          </w:tcPr>
          <w:p w:rsidR="00212E57" w:rsidRPr="00AB6D74" w:rsidRDefault="00212E57" w:rsidP="00D45A63">
            <w:pPr>
              <w:autoSpaceDE w:val="0"/>
              <w:autoSpaceDN w:val="0"/>
              <w:adjustRightInd w:val="0"/>
              <w:jc w:val="both"/>
              <w:rPr>
                <w:bCs/>
                <w:sz w:val="22"/>
                <w:szCs w:val="22"/>
              </w:rPr>
            </w:pPr>
            <w:r w:rsidRPr="00AB6D74">
              <w:rPr>
                <w:bCs/>
                <w:sz w:val="22"/>
                <w:szCs w:val="22"/>
              </w:rPr>
              <w:t>8.914,81</w:t>
            </w:r>
          </w:p>
        </w:tc>
      </w:tr>
      <w:tr w:rsidR="00212E57" w:rsidRPr="00AB6D74" w:rsidTr="00AB6D74">
        <w:trPr>
          <w:tblCellSpacing w:w="20" w:type="dxa"/>
        </w:trPr>
        <w:tc>
          <w:tcPr>
            <w:tcW w:w="1947" w:type="dxa"/>
            <w:shd w:val="clear" w:color="auto" w:fill="auto"/>
          </w:tcPr>
          <w:p w:rsidR="00212E57" w:rsidRPr="00AB6D74" w:rsidRDefault="00212E57" w:rsidP="00510B05">
            <w:pPr>
              <w:autoSpaceDE w:val="0"/>
              <w:autoSpaceDN w:val="0"/>
              <w:adjustRightInd w:val="0"/>
              <w:jc w:val="both"/>
              <w:rPr>
                <w:sz w:val="22"/>
                <w:szCs w:val="22"/>
              </w:rPr>
            </w:pPr>
            <w:r w:rsidRPr="00AB6D74">
              <w:rPr>
                <w:sz w:val="22"/>
                <w:szCs w:val="22"/>
              </w:rPr>
              <w:t>Tesorería</w:t>
            </w:r>
          </w:p>
        </w:tc>
        <w:tc>
          <w:tcPr>
            <w:tcW w:w="1945" w:type="dxa"/>
            <w:shd w:val="clear" w:color="auto" w:fill="auto"/>
          </w:tcPr>
          <w:p w:rsidR="00212E57" w:rsidRPr="00AB6D74" w:rsidRDefault="00212E57" w:rsidP="00510B05">
            <w:pPr>
              <w:autoSpaceDE w:val="0"/>
              <w:autoSpaceDN w:val="0"/>
              <w:adjustRightInd w:val="0"/>
              <w:jc w:val="both"/>
              <w:rPr>
                <w:bCs/>
                <w:sz w:val="22"/>
                <w:szCs w:val="22"/>
              </w:rPr>
            </w:pPr>
            <w:r w:rsidRPr="00AB6D74">
              <w:rPr>
                <w:bCs/>
                <w:sz w:val="22"/>
                <w:szCs w:val="22"/>
              </w:rPr>
              <w:t xml:space="preserve">  </w:t>
            </w:r>
            <w:r>
              <w:rPr>
                <w:bCs/>
                <w:sz w:val="22"/>
                <w:szCs w:val="22"/>
              </w:rPr>
              <w:t>0</w:t>
            </w:r>
            <w:r w:rsidRPr="00AB6D74">
              <w:rPr>
                <w:bCs/>
                <w:sz w:val="22"/>
                <w:szCs w:val="22"/>
              </w:rPr>
              <w:t>,</w:t>
            </w:r>
            <w:r>
              <w:rPr>
                <w:bCs/>
                <w:sz w:val="22"/>
                <w:szCs w:val="22"/>
              </w:rPr>
              <w:t>0</w:t>
            </w:r>
            <w:r w:rsidRPr="00AB6D74">
              <w:rPr>
                <w:bCs/>
                <w:sz w:val="22"/>
                <w:szCs w:val="22"/>
              </w:rPr>
              <w:t>0</w:t>
            </w:r>
          </w:p>
        </w:tc>
        <w:tc>
          <w:tcPr>
            <w:tcW w:w="1925" w:type="dxa"/>
            <w:shd w:val="clear" w:color="auto" w:fill="auto"/>
          </w:tcPr>
          <w:p w:rsidR="00212E57" w:rsidRPr="00AB6D74" w:rsidRDefault="00212E57" w:rsidP="00D45A63">
            <w:pPr>
              <w:autoSpaceDE w:val="0"/>
              <w:autoSpaceDN w:val="0"/>
              <w:adjustRightInd w:val="0"/>
              <w:jc w:val="both"/>
              <w:rPr>
                <w:bCs/>
                <w:sz w:val="22"/>
                <w:szCs w:val="22"/>
              </w:rPr>
            </w:pPr>
            <w:r w:rsidRPr="00AB6D74">
              <w:rPr>
                <w:bCs/>
                <w:sz w:val="22"/>
                <w:szCs w:val="22"/>
              </w:rPr>
              <w:t xml:space="preserve">  959,20</w:t>
            </w:r>
          </w:p>
        </w:tc>
      </w:tr>
      <w:tr w:rsidR="00212E57" w:rsidRPr="00AB6D74" w:rsidTr="00AB6D74">
        <w:trPr>
          <w:tblCellSpacing w:w="20" w:type="dxa"/>
        </w:trPr>
        <w:tc>
          <w:tcPr>
            <w:tcW w:w="1947" w:type="dxa"/>
            <w:shd w:val="clear" w:color="auto" w:fill="auto"/>
          </w:tcPr>
          <w:p w:rsidR="00212E57" w:rsidRPr="00AB6D74" w:rsidRDefault="00212E57" w:rsidP="00510B05">
            <w:pPr>
              <w:autoSpaceDE w:val="0"/>
              <w:autoSpaceDN w:val="0"/>
              <w:adjustRightInd w:val="0"/>
              <w:jc w:val="both"/>
              <w:rPr>
                <w:b/>
                <w:bCs/>
                <w:sz w:val="22"/>
                <w:szCs w:val="22"/>
              </w:rPr>
            </w:pPr>
            <w:r w:rsidRPr="00AB6D74">
              <w:rPr>
                <w:b/>
                <w:bCs/>
                <w:sz w:val="22"/>
                <w:szCs w:val="22"/>
              </w:rPr>
              <w:t>Total</w:t>
            </w:r>
          </w:p>
        </w:tc>
        <w:tc>
          <w:tcPr>
            <w:tcW w:w="1945" w:type="dxa"/>
            <w:shd w:val="clear" w:color="auto" w:fill="auto"/>
          </w:tcPr>
          <w:p w:rsidR="00212E57" w:rsidRPr="00AB6D74" w:rsidRDefault="00212E57" w:rsidP="00510B05">
            <w:pPr>
              <w:autoSpaceDE w:val="0"/>
              <w:autoSpaceDN w:val="0"/>
              <w:adjustRightInd w:val="0"/>
              <w:jc w:val="both"/>
              <w:rPr>
                <w:bCs/>
                <w:sz w:val="22"/>
                <w:szCs w:val="22"/>
              </w:rPr>
            </w:pPr>
            <w:r>
              <w:rPr>
                <w:bCs/>
                <w:sz w:val="22"/>
                <w:szCs w:val="22"/>
              </w:rPr>
              <w:t>14.955</w:t>
            </w:r>
            <w:r w:rsidRPr="00AB6D74">
              <w:rPr>
                <w:bCs/>
                <w:sz w:val="22"/>
                <w:szCs w:val="22"/>
              </w:rPr>
              <w:t>,</w:t>
            </w:r>
            <w:r>
              <w:rPr>
                <w:bCs/>
                <w:sz w:val="22"/>
                <w:szCs w:val="22"/>
              </w:rPr>
              <w:t>35</w:t>
            </w:r>
          </w:p>
        </w:tc>
        <w:tc>
          <w:tcPr>
            <w:tcW w:w="1925" w:type="dxa"/>
            <w:shd w:val="clear" w:color="auto" w:fill="auto"/>
          </w:tcPr>
          <w:p w:rsidR="00212E57" w:rsidRPr="00AB6D74" w:rsidRDefault="00212E57" w:rsidP="00D45A63">
            <w:pPr>
              <w:autoSpaceDE w:val="0"/>
              <w:autoSpaceDN w:val="0"/>
              <w:adjustRightInd w:val="0"/>
              <w:jc w:val="both"/>
              <w:rPr>
                <w:bCs/>
                <w:sz w:val="22"/>
                <w:szCs w:val="22"/>
              </w:rPr>
            </w:pPr>
            <w:r w:rsidRPr="00AB6D74">
              <w:rPr>
                <w:bCs/>
                <w:sz w:val="22"/>
                <w:szCs w:val="22"/>
              </w:rPr>
              <w:t>9874,01</w:t>
            </w:r>
          </w:p>
        </w:tc>
      </w:tr>
    </w:tbl>
    <w:p w:rsidR="00510B05" w:rsidRDefault="00065F5E" w:rsidP="00510B05">
      <w:pPr>
        <w:autoSpaceDE w:val="0"/>
        <w:autoSpaceDN w:val="0"/>
        <w:adjustRightInd w:val="0"/>
        <w:jc w:val="both"/>
        <w:rPr>
          <w:b/>
          <w:bCs/>
          <w:sz w:val="22"/>
          <w:szCs w:val="22"/>
        </w:rPr>
      </w:pPr>
      <w:r>
        <w:rPr>
          <w:b/>
          <w:bCs/>
          <w:sz w:val="22"/>
          <w:szCs w:val="22"/>
        </w:rPr>
        <w:t>b) Clasificación por vencimientos</w:t>
      </w:r>
    </w:p>
    <w:p w:rsidR="00B22E53" w:rsidRDefault="00DE2722" w:rsidP="00510B05">
      <w:pPr>
        <w:autoSpaceDE w:val="0"/>
        <w:autoSpaceDN w:val="0"/>
        <w:adjustRightInd w:val="0"/>
        <w:jc w:val="both"/>
        <w:rPr>
          <w:sz w:val="22"/>
          <w:szCs w:val="22"/>
        </w:rPr>
      </w:pPr>
      <w:r>
        <w:rPr>
          <w:sz w:val="22"/>
          <w:szCs w:val="22"/>
        </w:rPr>
        <w:t xml:space="preserve">Sin considerar el efectivo y otros activos equivalentes no </w:t>
      </w:r>
      <w:r w:rsidR="00065F5E">
        <w:rPr>
          <w:sz w:val="22"/>
          <w:szCs w:val="22"/>
        </w:rPr>
        <w:t>existen instrumentos financieros de activo al cierre del ejercicio 201</w:t>
      </w:r>
      <w:r w:rsidR="00C94ED7">
        <w:rPr>
          <w:sz w:val="22"/>
          <w:szCs w:val="22"/>
        </w:rPr>
        <w:t>4</w:t>
      </w:r>
      <w:r w:rsidR="00065F5E">
        <w:rPr>
          <w:sz w:val="22"/>
          <w:szCs w:val="22"/>
        </w:rPr>
        <w:t xml:space="preserve"> ni del 201</w:t>
      </w:r>
      <w:r w:rsidR="00C94ED7">
        <w:rPr>
          <w:sz w:val="22"/>
          <w:szCs w:val="22"/>
        </w:rPr>
        <w:t>3</w:t>
      </w:r>
      <w:r>
        <w:rPr>
          <w:sz w:val="22"/>
          <w:szCs w:val="22"/>
        </w:rPr>
        <w:t>.</w:t>
      </w:r>
    </w:p>
    <w:p w:rsidR="00DE2722" w:rsidRDefault="00DE2722" w:rsidP="00510B05">
      <w:pPr>
        <w:autoSpaceDE w:val="0"/>
        <w:autoSpaceDN w:val="0"/>
        <w:adjustRightInd w:val="0"/>
        <w:jc w:val="both"/>
        <w:rPr>
          <w:sz w:val="22"/>
          <w:szCs w:val="22"/>
        </w:rPr>
      </w:pPr>
      <w:r>
        <w:rPr>
          <w:sz w:val="22"/>
          <w:szCs w:val="22"/>
        </w:rPr>
        <w:t>Los saldos de los clubes se cobran por domiciliación y mediante recepción de transferencias y cheques.</w:t>
      </w:r>
    </w:p>
    <w:p w:rsidR="00510B05" w:rsidRDefault="00510B05" w:rsidP="00510B05">
      <w:pPr>
        <w:autoSpaceDE w:val="0"/>
        <w:autoSpaceDN w:val="0"/>
        <w:adjustRightInd w:val="0"/>
        <w:jc w:val="both"/>
        <w:rPr>
          <w:sz w:val="22"/>
          <w:szCs w:val="22"/>
        </w:rPr>
      </w:pPr>
    </w:p>
    <w:p w:rsidR="00DE2722" w:rsidRDefault="00DE2722" w:rsidP="00510B05">
      <w:pPr>
        <w:autoSpaceDE w:val="0"/>
        <w:autoSpaceDN w:val="0"/>
        <w:adjustRightInd w:val="0"/>
        <w:jc w:val="both"/>
        <w:rPr>
          <w:b/>
          <w:bCs/>
          <w:sz w:val="22"/>
          <w:szCs w:val="22"/>
        </w:rPr>
      </w:pPr>
      <w:r>
        <w:rPr>
          <w:b/>
          <w:bCs/>
          <w:sz w:val="22"/>
          <w:szCs w:val="22"/>
        </w:rPr>
        <w:t>c) Pasivos financieros</w:t>
      </w:r>
    </w:p>
    <w:p w:rsidR="00DE2722" w:rsidRDefault="00DE2722" w:rsidP="00510B05">
      <w:pPr>
        <w:autoSpaceDE w:val="0"/>
        <w:autoSpaceDN w:val="0"/>
        <w:adjustRightInd w:val="0"/>
        <w:jc w:val="both"/>
        <w:rPr>
          <w:sz w:val="22"/>
          <w:szCs w:val="22"/>
        </w:rPr>
      </w:pPr>
      <w:r>
        <w:rPr>
          <w:sz w:val="22"/>
          <w:szCs w:val="22"/>
        </w:rPr>
        <w:t>A continuación se detallan los débitos y partidas a pagar al cierre de 201</w:t>
      </w:r>
      <w:r w:rsidR="00C94ED7">
        <w:rPr>
          <w:sz w:val="22"/>
          <w:szCs w:val="22"/>
        </w:rPr>
        <w:t>4 y 2013</w:t>
      </w:r>
      <w:r>
        <w:rPr>
          <w:sz w:val="22"/>
          <w:szCs w:val="22"/>
        </w:rPr>
        <w:t>.</w:t>
      </w:r>
    </w:p>
    <w:p w:rsidR="00DE2722" w:rsidRDefault="00DE2722" w:rsidP="00510B05">
      <w:pPr>
        <w:autoSpaceDE w:val="0"/>
        <w:autoSpaceDN w:val="0"/>
        <w:adjustRightInd w:val="0"/>
        <w:jc w:val="both"/>
        <w:rPr>
          <w:sz w:val="22"/>
          <w:szCs w:val="22"/>
        </w:rPr>
      </w:pPr>
    </w:p>
    <w:tbl>
      <w:tblPr>
        <w:tblW w:w="0" w:type="auto"/>
        <w:tblCellSpacing w:w="20" w:type="dxa"/>
        <w:tblInd w:w="6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92"/>
        <w:gridCol w:w="1137"/>
        <w:gridCol w:w="1137"/>
      </w:tblGrid>
      <w:tr w:rsidR="00DE2722" w:rsidRPr="00AB6D74" w:rsidTr="00C94ED7">
        <w:trPr>
          <w:trHeight w:val="123"/>
          <w:tblCellSpacing w:w="20" w:type="dxa"/>
        </w:trPr>
        <w:tc>
          <w:tcPr>
            <w:tcW w:w="2232" w:type="dxa"/>
            <w:shd w:val="clear" w:color="auto" w:fill="auto"/>
          </w:tcPr>
          <w:p w:rsidR="00DE2722" w:rsidRPr="00AB6D74" w:rsidRDefault="00DE2722" w:rsidP="00510B05">
            <w:pPr>
              <w:autoSpaceDE w:val="0"/>
              <w:autoSpaceDN w:val="0"/>
              <w:adjustRightInd w:val="0"/>
              <w:jc w:val="both"/>
              <w:rPr>
                <w:sz w:val="22"/>
                <w:szCs w:val="22"/>
              </w:rPr>
            </w:pPr>
          </w:p>
        </w:tc>
        <w:tc>
          <w:tcPr>
            <w:tcW w:w="2214" w:type="dxa"/>
            <w:gridSpan w:val="2"/>
            <w:shd w:val="clear" w:color="auto" w:fill="auto"/>
          </w:tcPr>
          <w:p w:rsidR="00DE2722" w:rsidRPr="00AB6D74" w:rsidRDefault="00DE2722" w:rsidP="00510B05">
            <w:pPr>
              <w:autoSpaceDE w:val="0"/>
              <w:autoSpaceDN w:val="0"/>
              <w:adjustRightInd w:val="0"/>
              <w:jc w:val="both"/>
              <w:rPr>
                <w:sz w:val="22"/>
                <w:szCs w:val="22"/>
              </w:rPr>
            </w:pPr>
            <w:r w:rsidRPr="00AB6D74">
              <w:rPr>
                <w:sz w:val="16"/>
                <w:szCs w:val="16"/>
              </w:rPr>
              <w:t>Instrum. Financieros a CP</w:t>
            </w:r>
          </w:p>
        </w:tc>
      </w:tr>
      <w:tr w:rsidR="00DE2722" w:rsidRPr="00AB6D74" w:rsidTr="00C94ED7">
        <w:trPr>
          <w:trHeight w:val="185"/>
          <w:tblCellSpacing w:w="20" w:type="dxa"/>
        </w:trPr>
        <w:tc>
          <w:tcPr>
            <w:tcW w:w="2232" w:type="dxa"/>
            <w:shd w:val="clear" w:color="auto" w:fill="auto"/>
          </w:tcPr>
          <w:p w:rsidR="00DE2722" w:rsidRPr="00AB6D74" w:rsidRDefault="00DE2722" w:rsidP="00510B05">
            <w:pPr>
              <w:autoSpaceDE w:val="0"/>
              <w:autoSpaceDN w:val="0"/>
              <w:adjustRightInd w:val="0"/>
              <w:jc w:val="both"/>
              <w:rPr>
                <w:sz w:val="16"/>
                <w:szCs w:val="16"/>
              </w:rPr>
            </w:pPr>
            <w:r w:rsidRPr="00AB6D74">
              <w:rPr>
                <w:sz w:val="16"/>
                <w:szCs w:val="16"/>
              </w:rPr>
              <w:t>Clases</w:t>
            </w:r>
          </w:p>
        </w:tc>
        <w:tc>
          <w:tcPr>
            <w:tcW w:w="2214" w:type="dxa"/>
            <w:gridSpan w:val="2"/>
            <w:shd w:val="clear" w:color="auto" w:fill="auto"/>
          </w:tcPr>
          <w:p w:rsidR="00DE2722" w:rsidRPr="00AB6D74" w:rsidRDefault="00DE2722" w:rsidP="00510B05">
            <w:pPr>
              <w:autoSpaceDE w:val="0"/>
              <w:autoSpaceDN w:val="0"/>
              <w:adjustRightInd w:val="0"/>
              <w:jc w:val="both"/>
              <w:rPr>
                <w:sz w:val="16"/>
                <w:szCs w:val="16"/>
              </w:rPr>
            </w:pPr>
            <w:r w:rsidRPr="00AB6D74">
              <w:rPr>
                <w:sz w:val="16"/>
                <w:szCs w:val="16"/>
              </w:rPr>
              <w:t>Obligaciones y otros valores negociables</w:t>
            </w:r>
          </w:p>
        </w:tc>
      </w:tr>
      <w:tr w:rsidR="00DE2722" w:rsidRPr="00AB6D74" w:rsidTr="00AB6D74">
        <w:trPr>
          <w:trHeight w:val="184"/>
          <w:tblCellSpacing w:w="20" w:type="dxa"/>
        </w:trPr>
        <w:tc>
          <w:tcPr>
            <w:tcW w:w="2232" w:type="dxa"/>
            <w:shd w:val="clear" w:color="auto" w:fill="auto"/>
          </w:tcPr>
          <w:p w:rsidR="00DE2722" w:rsidRPr="00AB6D74" w:rsidRDefault="00DE2722" w:rsidP="00510B05">
            <w:pPr>
              <w:autoSpaceDE w:val="0"/>
              <w:autoSpaceDN w:val="0"/>
              <w:adjustRightInd w:val="0"/>
              <w:jc w:val="both"/>
              <w:rPr>
                <w:sz w:val="16"/>
                <w:szCs w:val="16"/>
              </w:rPr>
            </w:pPr>
            <w:r w:rsidRPr="00AB6D74">
              <w:rPr>
                <w:sz w:val="16"/>
                <w:szCs w:val="16"/>
              </w:rPr>
              <w:t>Categorías</w:t>
            </w:r>
          </w:p>
        </w:tc>
        <w:tc>
          <w:tcPr>
            <w:tcW w:w="1097" w:type="dxa"/>
            <w:shd w:val="clear" w:color="auto" w:fill="auto"/>
          </w:tcPr>
          <w:p w:rsidR="00DE2722" w:rsidRPr="00AB6D74" w:rsidRDefault="00DE2722" w:rsidP="00510B05">
            <w:pPr>
              <w:autoSpaceDE w:val="0"/>
              <w:autoSpaceDN w:val="0"/>
              <w:adjustRightInd w:val="0"/>
              <w:jc w:val="both"/>
              <w:rPr>
                <w:sz w:val="16"/>
                <w:szCs w:val="16"/>
              </w:rPr>
            </w:pPr>
            <w:r w:rsidRPr="00AB6D74">
              <w:rPr>
                <w:sz w:val="16"/>
                <w:szCs w:val="16"/>
              </w:rPr>
              <w:t>201</w:t>
            </w:r>
            <w:r w:rsidR="00C94ED7">
              <w:rPr>
                <w:sz w:val="16"/>
                <w:szCs w:val="16"/>
              </w:rPr>
              <w:t>4</w:t>
            </w:r>
          </w:p>
        </w:tc>
        <w:tc>
          <w:tcPr>
            <w:tcW w:w="1077" w:type="dxa"/>
            <w:shd w:val="clear" w:color="auto" w:fill="auto"/>
          </w:tcPr>
          <w:p w:rsidR="00DE2722" w:rsidRPr="00AB6D74" w:rsidRDefault="00DE2722" w:rsidP="00510B05">
            <w:pPr>
              <w:autoSpaceDE w:val="0"/>
              <w:autoSpaceDN w:val="0"/>
              <w:adjustRightInd w:val="0"/>
              <w:jc w:val="both"/>
              <w:rPr>
                <w:sz w:val="16"/>
                <w:szCs w:val="16"/>
              </w:rPr>
            </w:pPr>
            <w:r w:rsidRPr="00AB6D74">
              <w:rPr>
                <w:sz w:val="16"/>
                <w:szCs w:val="16"/>
              </w:rPr>
              <w:t>201</w:t>
            </w:r>
            <w:r w:rsidR="00C94ED7">
              <w:rPr>
                <w:sz w:val="16"/>
                <w:szCs w:val="16"/>
              </w:rPr>
              <w:t>3</w:t>
            </w:r>
          </w:p>
        </w:tc>
      </w:tr>
      <w:tr w:rsidR="00C94ED7" w:rsidRPr="00AB6D74" w:rsidTr="00AB6D74">
        <w:trPr>
          <w:trHeight w:val="380"/>
          <w:tblCellSpacing w:w="20" w:type="dxa"/>
        </w:trPr>
        <w:tc>
          <w:tcPr>
            <w:tcW w:w="2232" w:type="dxa"/>
            <w:shd w:val="clear" w:color="auto" w:fill="auto"/>
          </w:tcPr>
          <w:p w:rsidR="00C94ED7" w:rsidRPr="00AB6D74" w:rsidRDefault="00C94ED7" w:rsidP="00510B05">
            <w:pPr>
              <w:autoSpaceDE w:val="0"/>
              <w:autoSpaceDN w:val="0"/>
              <w:adjustRightInd w:val="0"/>
              <w:jc w:val="both"/>
              <w:rPr>
                <w:sz w:val="16"/>
                <w:szCs w:val="16"/>
              </w:rPr>
            </w:pPr>
            <w:r w:rsidRPr="00AB6D74">
              <w:rPr>
                <w:sz w:val="16"/>
                <w:szCs w:val="16"/>
              </w:rPr>
              <w:t>Débitos y partidas</w:t>
            </w:r>
          </w:p>
          <w:p w:rsidR="00C94ED7" w:rsidRPr="00AB6D74" w:rsidRDefault="00C94ED7" w:rsidP="00510B05">
            <w:pPr>
              <w:autoSpaceDE w:val="0"/>
              <w:autoSpaceDN w:val="0"/>
              <w:adjustRightInd w:val="0"/>
              <w:jc w:val="both"/>
              <w:rPr>
                <w:sz w:val="16"/>
                <w:szCs w:val="16"/>
              </w:rPr>
            </w:pPr>
            <w:r w:rsidRPr="00AB6D74">
              <w:rPr>
                <w:sz w:val="16"/>
                <w:szCs w:val="16"/>
              </w:rPr>
              <w:t>a pagar</w:t>
            </w:r>
          </w:p>
        </w:tc>
        <w:tc>
          <w:tcPr>
            <w:tcW w:w="1097" w:type="dxa"/>
            <w:shd w:val="clear" w:color="auto" w:fill="auto"/>
          </w:tcPr>
          <w:p w:rsidR="00C94ED7" w:rsidRPr="00AB6D74" w:rsidRDefault="00C94ED7" w:rsidP="00D90554">
            <w:pPr>
              <w:autoSpaceDE w:val="0"/>
              <w:autoSpaceDN w:val="0"/>
              <w:adjustRightInd w:val="0"/>
              <w:jc w:val="both"/>
              <w:rPr>
                <w:sz w:val="16"/>
                <w:szCs w:val="16"/>
              </w:rPr>
            </w:pPr>
            <w:r>
              <w:rPr>
                <w:sz w:val="16"/>
                <w:szCs w:val="16"/>
              </w:rPr>
              <w:t>2.415,62</w:t>
            </w:r>
          </w:p>
        </w:tc>
        <w:tc>
          <w:tcPr>
            <w:tcW w:w="1077" w:type="dxa"/>
            <w:shd w:val="clear" w:color="auto" w:fill="auto"/>
          </w:tcPr>
          <w:p w:rsidR="00C94ED7" w:rsidRPr="00AB6D74" w:rsidRDefault="00C94ED7" w:rsidP="00510B05">
            <w:pPr>
              <w:autoSpaceDE w:val="0"/>
              <w:autoSpaceDN w:val="0"/>
              <w:adjustRightInd w:val="0"/>
              <w:jc w:val="both"/>
              <w:rPr>
                <w:sz w:val="16"/>
                <w:szCs w:val="16"/>
              </w:rPr>
            </w:pPr>
            <w:r>
              <w:rPr>
                <w:sz w:val="16"/>
                <w:szCs w:val="16"/>
              </w:rPr>
              <w:t>2.416,35</w:t>
            </w:r>
          </w:p>
        </w:tc>
      </w:tr>
    </w:tbl>
    <w:p w:rsidR="00DE2722" w:rsidRDefault="00DE2722" w:rsidP="00510B05">
      <w:pPr>
        <w:autoSpaceDE w:val="0"/>
        <w:autoSpaceDN w:val="0"/>
        <w:adjustRightInd w:val="0"/>
        <w:jc w:val="both"/>
        <w:rPr>
          <w:sz w:val="22"/>
          <w:szCs w:val="22"/>
        </w:rPr>
      </w:pPr>
      <w:r>
        <w:rPr>
          <w:sz w:val="22"/>
          <w:szCs w:val="22"/>
        </w:rPr>
        <w:t>La información de los instrumentos financieros del pasivo del balance de la Federación, clasificados por categorías a 31 de diciembre de 201</w:t>
      </w:r>
      <w:r w:rsidR="00C94ED7">
        <w:rPr>
          <w:sz w:val="22"/>
          <w:szCs w:val="22"/>
        </w:rPr>
        <w:t>4</w:t>
      </w:r>
      <w:r>
        <w:rPr>
          <w:sz w:val="22"/>
          <w:szCs w:val="22"/>
        </w:rPr>
        <w:t xml:space="preserve"> es:</w:t>
      </w:r>
    </w:p>
    <w:p w:rsidR="00510B05" w:rsidRDefault="00510B05" w:rsidP="00510B05">
      <w:pPr>
        <w:autoSpaceDE w:val="0"/>
        <w:autoSpaceDN w:val="0"/>
        <w:adjustRightInd w:val="0"/>
        <w:jc w:val="both"/>
        <w:rPr>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849"/>
        <w:gridCol w:w="260"/>
        <w:gridCol w:w="1056"/>
        <w:gridCol w:w="1802"/>
      </w:tblGrid>
      <w:tr w:rsidR="00DE2722" w:rsidRPr="00AB6D74" w:rsidTr="00AB6D74">
        <w:trPr>
          <w:tblCellSpacing w:w="20" w:type="dxa"/>
        </w:trPr>
        <w:tc>
          <w:tcPr>
            <w:tcW w:w="3789" w:type="dxa"/>
            <w:shd w:val="clear" w:color="auto" w:fill="auto"/>
          </w:tcPr>
          <w:p w:rsidR="00DE2722" w:rsidRPr="00AB6D74" w:rsidRDefault="00DE2722" w:rsidP="00510B05">
            <w:pPr>
              <w:autoSpaceDE w:val="0"/>
              <w:autoSpaceDN w:val="0"/>
              <w:adjustRightInd w:val="0"/>
              <w:jc w:val="both"/>
              <w:rPr>
                <w:sz w:val="22"/>
                <w:szCs w:val="22"/>
              </w:rPr>
            </w:pPr>
            <w:r w:rsidRPr="00AB6D74">
              <w:rPr>
                <w:b/>
                <w:bCs/>
                <w:sz w:val="22"/>
                <w:szCs w:val="22"/>
              </w:rPr>
              <w:t xml:space="preserve">Concepto </w:t>
            </w:r>
          </w:p>
        </w:tc>
        <w:tc>
          <w:tcPr>
            <w:tcW w:w="1276" w:type="dxa"/>
            <w:gridSpan w:val="2"/>
            <w:shd w:val="clear" w:color="auto" w:fill="auto"/>
          </w:tcPr>
          <w:p w:rsidR="00DE2722" w:rsidRPr="00AB6D74" w:rsidRDefault="00DE2722" w:rsidP="00510B05">
            <w:pPr>
              <w:autoSpaceDE w:val="0"/>
              <w:autoSpaceDN w:val="0"/>
              <w:adjustRightInd w:val="0"/>
              <w:jc w:val="both"/>
              <w:rPr>
                <w:sz w:val="22"/>
                <w:szCs w:val="22"/>
              </w:rPr>
            </w:pPr>
            <w:r w:rsidRPr="00AB6D74">
              <w:rPr>
                <w:b/>
                <w:bCs/>
                <w:sz w:val="22"/>
                <w:szCs w:val="22"/>
              </w:rPr>
              <w:t>Saldo 201</w:t>
            </w:r>
            <w:r w:rsidR="009075E4">
              <w:rPr>
                <w:b/>
                <w:bCs/>
                <w:sz w:val="22"/>
                <w:szCs w:val="22"/>
              </w:rPr>
              <w:t>4</w:t>
            </w:r>
          </w:p>
        </w:tc>
        <w:tc>
          <w:tcPr>
            <w:tcW w:w="1742" w:type="dxa"/>
            <w:shd w:val="clear" w:color="auto" w:fill="auto"/>
          </w:tcPr>
          <w:p w:rsidR="00DE2722" w:rsidRPr="00AB6D74" w:rsidRDefault="00DE2722" w:rsidP="00510B05">
            <w:pPr>
              <w:autoSpaceDE w:val="0"/>
              <w:autoSpaceDN w:val="0"/>
              <w:adjustRightInd w:val="0"/>
              <w:jc w:val="both"/>
              <w:rPr>
                <w:sz w:val="22"/>
                <w:szCs w:val="22"/>
              </w:rPr>
            </w:pPr>
            <w:r w:rsidRPr="00AB6D74">
              <w:rPr>
                <w:b/>
                <w:bCs/>
                <w:sz w:val="22"/>
                <w:szCs w:val="22"/>
              </w:rPr>
              <w:t>Saldo 201</w:t>
            </w:r>
            <w:r w:rsidR="009075E4">
              <w:rPr>
                <w:b/>
                <w:bCs/>
                <w:sz w:val="22"/>
                <w:szCs w:val="22"/>
              </w:rPr>
              <w:t>3</w:t>
            </w:r>
          </w:p>
        </w:tc>
      </w:tr>
      <w:tr w:rsidR="005E350B" w:rsidRPr="00AB6D74" w:rsidTr="00AB6D74">
        <w:trPr>
          <w:tblCellSpacing w:w="20" w:type="dxa"/>
        </w:trPr>
        <w:tc>
          <w:tcPr>
            <w:tcW w:w="6887" w:type="dxa"/>
            <w:gridSpan w:val="4"/>
            <w:shd w:val="clear" w:color="auto" w:fill="auto"/>
          </w:tcPr>
          <w:p w:rsidR="005E350B" w:rsidRPr="00AB6D74" w:rsidRDefault="005E350B" w:rsidP="00510B05">
            <w:pPr>
              <w:autoSpaceDE w:val="0"/>
              <w:autoSpaceDN w:val="0"/>
              <w:adjustRightInd w:val="0"/>
              <w:jc w:val="both"/>
              <w:rPr>
                <w:sz w:val="22"/>
                <w:szCs w:val="22"/>
              </w:rPr>
            </w:pPr>
            <w:r w:rsidRPr="00AB6D74">
              <w:rPr>
                <w:b/>
                <w:bCs/>
                <w:sz w:val="22"/>
                <w:szCs w:val="22"/>
              </w:rPr>
              <w:t>PASIVOS FINANCIEROS A CP</w:t>
            </w:r>
          </w:p>
        </w:tc>
      </w:tr>
      <w:tr w:rsidR="009075E4" w:rsidRPr="00AB6D74" w:rsidTr="00AB6D74">
        <w:trPr>
          <w:tblCellSpacing w:w="20" w:type="dxa"/>
        </w:trPr>
        <w:tc>
          <w:tcPr>
            <w:tcW w:w="4049" w:type="dxa"/>
            <w:gridSpan w:val="2"/>
            <w:shd w:val="clear" w:color="auto" w:fill="auto"/>
          </w:tcPr>
          <w:p w:rsidR="009075E4" w:rsidRPr="00AB6D74" w:rsidRDefault="009075E4" w:rsidP="00510B05">
            <w:pPr>
              <w:autoSpaceDE w:val="0"/>
              <w:autoSpaceDN w:val="0"/>
              <w:adjustRightInd w:val="0"/>
              <w:jc w:val="both"/>
              <w:rPr>
                <w:b/>
                <w:bCs/>
                <w:sz w:val="22"/>
                <w:szCs w:val="22"/>
              </w:rPr>
            </w:pPr>
            <w:r w:rsidRPr="00AB6D74">
              <w:rPr>
                <w:b/>
                <w:bCs/>
                <w:sz w:val="22"/>
                <w:szCs w:val="22"/>
              </w:rPr>
              <w:t xml:space="preserve">Total deudas a CP </w:t>
            </w:r>
          </w:p>
        </w:tc>
        <w:tc>
          <w:tcPr>
            <w:tcW w:w="1016" w:type="dxa"/>
            <w:shd w:val="clear" w:color="auto" w:fill="auto"/>
          </w:tcPr>
          <w:p w:rsidR="009075E4" w:rsidRPr="00AB6D74" w:rsidRDefault="00C94ED7" w:rsidP="00510B05">
            <w:pPr>
              <w:autoSpaceDE w:val="0"/>
              <w:autoSpaceDN w:val="0"/>
              <w:adjustRightInd w:val="0"/>
              <w:jc w:val="both"/>
              <w:rPr>
                <w:sz w:val="22"/>
                <w:szCs w:val="22"/>
              </w:rPr>
            </w:pPr>
            <w:r>
              <w:rPr>
                <w:sz w:val="22"/>
                <w:szCs w:val="22"/>
              </w:rPr>
              <w:t>566,25</w:t>
            </w:r>
          </w:p>
        </w:tc>
        <w:tc>
          <w:tcPr>
            <w:tcW w:w="1742" w:type="dxa"/>
            <w:shd w:val="clear" w:color="auto" w:fill="auto"/>
          </w:tcPr>
          <w:p w:rsidR="009075E4" w:rsidRPr="00AB6D74" w:rsidRDefault="009075E4" w:rsidP="00D45A63">
            <w:pPr>
              <w:autoSpaceDE w:val="0"/>
              <w:autoSpaceDN w:val="0"/>
              <w:adjustRightInd w:val="0"/>
              <w:jc w:val="both"/>
              <w:rPr>
                <w:sz w:val="22"/>
                <w:szCs w:val="22"/>
              </w:rPr>
            </w:pPr>
            <w:r w:rsidRPr="00AB6D74">
              <w:rPr>
                <w:sz w:val="22"/>
                <w:szCs w:val="22"/>
              </w:rPr>
              <w:t>565,90</w:t>
            </w:r>
          </w:p>
        </w:tc>
      </w:tr>
      <w:tr w:rsidR="009075E4" w:rsidRPr="00AB6D74" w:rsidTr="00AB6D74">
        <w:trPr>
          <w:tblCellSpacing w:w="20" w:type="dxa"/>
        </w:trPr>
        <w:tc>
          <w:tcPr>
            <w:tcW w:w="4049" w:type="dxa"/>
            <w:gridSpan w:val="2"/>
            <w:shd w:val="clear" w:color="auto" w:fill="auto"/>
          </w:tcPr>
          <w:p w:rsidR="009075E4" w:rsidRPr="00AB6D74" w:rsidRDefault="009075E4" w:rsidP="00510B05">
            <w:pPr>
              <w:autoSpaceDE w:val="0"/>
              <w:autoSpaceDN w:val="0"/>
              <w:adjustRightInd w:val="0"/>
              <w:jc w:val="both"/>
              <w:rPr>
                <w:b/>
                <w:bCs/>
                <w:sz w:val="22"/>
                <w:szCs w:val="22"/>
              </w:rPr>
            </w:pPr>
            <w:r w:rsidRPr="00AB6D74">
              <w:rPr>
                <w:b/>
                <w:bCs/>
                <w:sz w:val="22"/>
                <w:szCs w:val="22"/>
              </w:rPr>
              <w:t>Total Proveedores</w:t>
            </w:r>
          </w:p>
        </w:tc>
        <w:tc>
          <w:tcPr>
            <w:tcW w:w="1016" w:type="dxa"/>
            <w:shd w:val="clear" w:color="auto" w:fill="auto"/>
          </w:tcPr>
          <w:p w:rsidR="009075E4" w:rsidRPr="00AB6D74" w:rsidRDefault="00C94ED7" w:rsidP="00510B05">
            <w:pPr>
              <w:autoSpaceDE w:val="0"/>
              <w:autoSpaceDN w:val="0"/>
              <w:adjustRightInd w:val="0"/>
              <w:jc w:val="both"/>
              <w:rPr>
                <w:sz w:val="22"/>
                <w:szCs w:val="22"/>
              </w:rPr>
            </w:pPr>
            <w:r>
              <w:rPr>
                <w:sz w:val="22"/>
                <w:szCs w:val="22"/>
              </w:rPr>
              <w:t>0</w:t>
            </w:r>
          </w:p>
        </w:tc>
        <w:tc>
          <w:tcPr>
            <w:tcW w:w="1742" w:type="dxa"/>
            <w:shd w:val="clear" w:color="auto" w:fill="auto"/>
          </w:tcPr>
          <w:p w:rsidR="009075E4" w:rsidRPr="00AB6D74" w:rsidRDefault="009075E4" w:rsidP="00D45A63">
            <w:pPr>
              <w:autoSpaceDE w:val="0"/>
              <w:autoSpaceDN w:val="0"/>
              <w:adjustRightInd w:val="0"/>
              <w:jc w:val="both"/>
              <w:rPr>
                <w:sz w:val="22"/>
                <w:szCs w:val="22"/>
              </w:rPr>
            </w:pPr>
            <w:r w:rsidRPr="00AB6D74">
              <w:rPr>
                <w:sz w:val="22"/>
                <w:szCs w:val="22"/>
              </w:rPr>
              <w:t>0</w:t>
            </w:r>
          </w:p>
        </w:tc>
      </w:tr>
      <w:tr w:rsidR="009075E4" w:rsidRPr="00AB6D74" w:rsidTr="00AB6D74">
        <w:trPr>
          <w:tblCellSpacing w:w="20" w:type="dxa"/>
        </w:trPr>
        <w:tc>
          <w:tcPr>
            <w:tcW w:w="4049" w:type="dxa"/>
            <w:gridSpan w:val="2"/>
            <w:shd w:val="clear" w:color="auto" w:fill="auto"/>
          </w:tcPr>
          <w:p w:rsidR="009075E4" w:rsidRPr="00AB6D74" w:rsidRDefault="009075E4" w:rsidP="00510B05">
            <w:pPr>
              <w:autoSpaceDE w:val="0"/>
              <w:autoSpaceDN w:val="0"/>
              <w:adjustRightInd w:val="0"/>
              <w:jc w:val="both"/>
              <w:rPr>
                <w:sz w:val="22"/>
                <w:szCs w:val="22"/>
              </w:rPr>
            </w:pPr>
            <w:r w:rsidRPr="00AB6D74">
              <w:rPr>
                <w:b/>
                <w:bCs/>
                <w:sz w:val="22"/>
                <w:szCs w:val="22"/>
              </w:rPr>
              <w:t>Total otros acreedores</w:t>
            </w:r>
          </w:p>
        </w:tc>
        <w:tc>
          <w:tcPr>
            <w:tcW w:w="1016" w:type="dxa"/>
            <w:shd w:val="clear" w:color="auto" w:fill="auto"/>
          </w:tcPr>
          <w:p w:rsidR="009075E4" w:rsidRPr="00AB6D74" w:rsidRDefault="00C94ED7" w:rsidP="00510B05">
            <w:pPr>
              <w:autoSpaceDE w:val="0"/>
              <w:autoSpaceDN w:val="0"/>
              <w:adjustRightInd w:val="0"/>
              <w:jc w:val="both"/>
              <w:rPr>
                <w:sz w:val="22"/>
                <w:szCs w:val="22"/>
              </w:rPr>
            </w:pPr>
            <w:r>
              <w:rPr>
                <w:sz w:val="22"/>
                <w:szCs w:val="22"/>
              </w:rPr>
              <w:t>1.849,37</w:t>
            </w:r>
          </w:p>
        </w:tc>
        <w:tc>
          <w:tcPr>
            <w:tcW w:w="1742" w:type="dxa"/>
            <w:shd w:val="clear" w:color="auto" w:fill="auto"/>
          </w:tcPr>
          <w:p w:rsidR="009075E4" w:rsidRPr="00AB6D74" w:rsidRDefault="009075E4" w:rsidP="00D45A63">
            <w:pPr>
              <w:autoSpaceDE w:val="0"/>
              <w:autoSpaceDN w:val="0"/>
              <w:adjustRightInd w:val="0"/>
              <w:jc w:val="both"/>
              <w:rPr>
                <w:sz w:val="22"/>
                <w:szCs w:val="22"/>
              </w:rPr>
            </w:pPr>
            <w:r w:rsidRPr="00AB6D74">
              <w:rPr>
                <w:sz w:val="22"/>
                <w:szCs w:val="22"/>
              </w:rPr>
              <w:t>1.850,45</w:t>
            </w:r>
          </w:p>
        </w:tc>
      </w:tr>
      <w:tr w:rsidR="009075E4" w:rsidRPr="00AB6D74" w:rsidTr="00AB6D74">
        <w:trPr>
          <w:tblCellSpacing w:w="20" w:type="dxa"/>
        </w:trPr>
        <w:tc>
          <w:tcPr>
            <w:tcW w:w="4049" w:type="dxa"/>
            <w:gridSpan w:val="2"/>
            <w:shd w:val="clear" w:color="auto" w:fill="auto"/>
          </w:tcPr>
          <w:p w:rsidR="009075E4" w:rsidRPr="00AB6D74" w:rsidRDefault="009075E4" w:rsidP="00510B05">
            <w:pPr>
              <w:autoSpaceDE w:val="0"/>
              <w:autoSpaceDN w:val="0"/>
              <w:adjustRightInd w:val="0"/>
              <w:jc w:val="both"/>
              <w:rPr>
                <w:b/>
                <w:bCs/>
                <w:sz w:val="22"/>
                <w:szCs w:val="22"/>
              </w:rPr>
            </w:pPr>
            <w:r w:rsidRPr="00AB6D74">
              <w:rPr>
                <w:b/>
                <w:bCs/>
                <w:sz w:val="22"/>
                <w:szCs w:val="22"/>
              </w:rPr>
              <w:t xml:space="preserve">Total Proveedoores y acreedores </w:t>
            </w:r>
          </w:p>
        </w:tc>
        <w:tc>
          <w:tcPr>
            <w:tcW w:w="1016" w:type="dxa"/>
            <w:shd w:val="clear" w:color="auto" w:fill="auto"/>
          </w:tcPr>
          <w:p w:rsidR="009075E4" w:rsidRPr="00AB6D74" w:rsidRDefault="00C94ED7" w:rsidP="00510B05">
            <w:pPr>
              <w:autoSpaceDE w:val="0"/>
              <w:autoSpaceDN w:val="0"/>
              <w:adjustRightInd w:val="0"/>
              <w:jc w:val="both"/>
              <w:rPr>
                <w:sz w:val="22"/>
                <w:szCs w:val="22"/>
              </w:rPr>
            </w:pPr>
            <w:r>
              <w:rPr>
                <w:sz w:val="22"/>
                <w:szCs w:val="22"/>
              </w:rPr>
              <w:t>1.849,37</w:t>
            </w:r>
          </w:p>
        </w:tc>
        <w:tc>
          <w:tcPr>
            <w:tcW w:w="1742" w:type="dxa"/>
            <w:shd w:val="clear" w:color="auto" w:fill="auto"/>
          </w:tcPr>
          <w:p w:rsidR="009075E4" w:rsidRPr="00AB6D74" w:rsidRDefault="009075E4" w:rsidP="00D45A63">
            <w:pPr>
              <w:autoSpaceDE w:val="0"/>
              <w:autoSpaceDN w:val="0"/>
              <w:adjustRightInd w:val="0"/>
              <w:jc w:val="both"/>
              <w:rPr>
                <w:sz w:val="22"/>
                <w:szCs w:val="22"/>
              </w:rPr>
            </w:pPr>
            <w:r w:rsidRPr="00AB6D74">
              <w:rPr>
                <w:sz w:val="22"/>
                <w:szCs w:val="22"/>
              </w:rPr>
              <w:t>1.850,45</w:t>
            </w:r>
          </w:p>
        </w:tc>
      </w:tr>
      <w:tr w:rsidR="009075E4" w:rsidRPr="00AB6D74" w:rsidTr="00AB6D74">
        <w:trPr>
          <w:tblCellSpacing w:w="20" w:type="dxa"/>
        </w:trPr>
        <w:tc>
          <w:tcPr>
            <w:tcW w:w="4049" w:type="dxa"/>
            <w:gridSpan w:val="2"/>
            <w:shd w:val="clear" w:color="auto" w:fill="auto"/>
          </w:tcPr>
          <w:p w:rsidR="009075E4" w:rsidRPr="00AB6D74" w:rsidRDefault="009075E4" w:rsidP="00510B05">
            <w:pPr>
              <w:autoSpaceDE w:val="0"/>
              <w:autoSpaceDN w:val="0"/>
              <w:adjustRightInd w:val="0"/>
              <w:jc w:val="both"/>
              <w:rPr>
                <w:b/>
                <w:bCs/>
                <w:sz w:val="22"/>
                <w:szCs w:val="22"/>
              </w:rPr>
            </w:pPr>
            <w:r w:rsidRPr="00AB6D74">
              <w:rPr>
                <w:b/>
                <w:bCs/>
                <w:sz w:val="22"/>
                <w:szCs w:val="22"/>
              </w:rPr>
              <w:t>TOTAL PASIVOS FINANCIEROS A CP</w:t>
            </w:r>
          </w:p>
        </w:tc>
        <w:tc>
          <w:tcPr>
            <w:tcW w:w="1016" w:type="dxa"/>
            <w:shd w:val="clear" w:color="auto" w:fill="auto"/>
          </w:tcPr>
          <w:p w:rsidR="009075E4" w:rsidRPr="00AB6D74" w:rsidRDefault="00C94ED7" w:rsidP="00510B05">
            <w:pPr>
              <w:autoSpaceDE w:val="0"/>
              <w:autoSpaceDN w:val="0"/>
              <w:adjustRightInd w:val="0"/>
              <w:jc w:val="both"/>
              <w:rPr>
                <w:sz w:val="22"/>
                <w:szCs w:val="22"/>
              </w:rPr>
            </w:pPr>
            <w:r>
              <w:rPr>
                <w:sz w:val="22"/>
                <w:szCs w:val="22"/>
              </w:rPr>
              <w:t>2.415,62</w:t>
            </w:r>
          </w:p>
        </w:tc>
        <w:tc>
          <w:tcPr>
            <w:tcW w:w="1742" w:type="dxa"/>
            <w:shd w:val="clear" w:color="auto" w:fill="auto"/>
          </w:tcPr>
          <w:p w:rsidR="009075E4" w:rsidRPr="00AB6D74" w:rsidRDefault="009075E4" w:rsidP="00D45A63">
            <w:pPr>
              <w:autoSpaceDE w:val="0"/>
              <w:autoSpaceDN w:val="0"/>
              <w:adjustRightInd w:val="0"/>
              <w:jc w:val="both"/>
              <w:rPr>
                <w:sz w:val="22"/>
                <w:szCs w:val="22"/>
              </w:rPr>
            </w:pPr>
            <w:r w:rsidRPr="00AB6D74">
              <w:rPr>
                <w:sz w:val="22"/>
                <w:szCs w:val="22"/>
              </w:rPr>
              <w:t>2</w:t>
            </w:r>
            <w:r w:rsidR="00C94ED7">
              <w:rPr>
                <w:sz w:val="22"/>
                <w:szCs w:val="22"/>
              </w:rPr>
              <w:t>.</w:t>
            </w:r>
            <w:r w:rsidRPr="00AB6D74">
              <w:rPr>
                <w:sz w:val="22"/>
                <w:szCs w:val="22"/>
              </w:rPr>
              <w:t>416,35</w:t>
            </w:r>
          </w:p>
        </w:tc>
      </w:tr>
    </w:tbl>
    <w:p w:rsidR="00DE2722" w:rsidRDefault="00DE2722" w:rsidP="00510B05">
      <w:pPr>
        <w:autoSpaceDE w:val="0"/>
        <w:autoSpaceDN w:val="0"/>
        <w:adjustRightInd w:val="0"/>
        <w:jc w:val="both"/>
        <w:rPr>
          <w:sz w:val="22"/>
          <w:szCs w:val="22"/>
        </w:rPr>
      </w:pPr>
    </w:p>
    <w:p w:rsidR="00510B05" w:rsidRDefault="00510B05" w:rsidP="00510B05">
      <w:pPr>
        <w:autoSpaceDE w:val="0"/>
        <w:autoSpaceDN w:val="0"/>
        <w:adjustRightInd w:val="0"/>
        <w:jc w:val="both"/>
        <w:rPr>
          <w:sz w:val="22"/>
          <w:szCs w:val="22"/>
        </w:rPr>
      </w:pPr>
    </w:p>
    <w:p w:rsidR="005E350B" w:rsidRDefault="005E350B" w:rsidP="00510B05">
      <w:pPr>
        <w:autoSpaceDE w:val="0"/>
        <w:autoSpaceDN w:val="0"/>
        <w:adjustRightInd w:val="0"/>
        <w:jc w:val="both"/>
        <w:rPr>
          <w:b/>
          <w:bCs/>
          <w:sz w:val="22"/>
          <w:szCs w:val="22"/>
        </w:rPr>
      </w:pPr>
      <w:r>
        <w:rPr>
          <w:b/>
          <w:bCs/>
          <w:sz w:val="22"/>
          <w:szCs w:val="22"/>
        </w:rPr>
        <w:t>NOTA 8. INFORMACIÓN SOBRE LOS APLAZAMIENTOS DE PAGO EFECTUADOS A PROVEEDORES. DISPOSICIÓN ADICIONAL TERCERA. “DEBER DE NFORMACIÓN” DE LA LEY 15/2010, DE 5 DE JULIO</w:t>
      </w:r>
    </w:p>
    <w:p w:rsidR="00510B05" w:rsidRDefault="00510B05" w:rsidP="00510B05">
      <w:pPr>
        <w:autoSpaceDE w:val="0"/>
        <w:autoSpaceDN w:val="0"/>
        <w:adjustRightInd w:val="0"/>
        <w:jc w:val="both"/>
        <w:rPr>
          <w:b/>
          <w:bCs/>
          <w:sz w:val="22"/>
          <w:szCs w:val="22"/>
        </w:rPr>
      </w:pPr>
    </w:p>
    <w:p w:rsidR="005E350B" w:rsidRDefault="005E350B" w:rsidP="00510B05">
      <w:pPr>
        <w:autoSpaceDE w:val="0"/>
        <w:autoSpaceDN w:val="0"/>
        <w:adjustRightInd w:val="0"/>
        <w:jc w:val="both"/>
        <w:rPr>
          <w:sz w:val="22"/>
          <w:szCs w:val="22"/>
        </w:rPr>
      </w:pPr>
      <w:r>
        <w:rPr>
          <w:sz w:val="22"/>
          <w:szCs w:val="22"/>
        </w:rPr>
        <w:t>Conforme a lo indicado en la disposición adicional tercera “Deber de Información” de la Ley 15/2010, de 5 de julio, que modifica la Ley 3/2004 de 29 de diciembre, por la que se establecen medidas de lucha contra la morosidad en las operaciones comerciales, se informa que el total de pagos se realizaron dentro del plazo máximo legal.</w:t>
      </w:r>
    </w:p>
    <w:p w:rsidR="005E350B" w:rsidRDefault="005E350B" w:rsidP="00510B05">
      <w:pPr>
        <w:autoSpaceDE w:val="0"/>
        <w:autoSpaceDN w:val="0"/>
        <w:adjustRightInd w:val="0"/>
        <w:jc w:val="both"/>
        <w:rPr>
          <w:sz w:val="22"/>
          <w:szCs w:val="22"/>
        </w:rPr>
      </w:pPr>
    </w:p>
    <w:p w:rsidR="005E350B" w:rsidRDefault="005E350B" w:rsidP="00510B05">
      <w:pPr>
        <w:autoSpaceDE w:val="0"/>
        <w:autoSpaceDN w:val="0"/>
        <w:adjustRightInd w:val="0"/>
        <w:jc w:val="both"/>
        <w:rPr>
          <w:b/>
          <w:bCs/>
          <w:sz w:val="22"/>
          <w:szCs w:val="22"/>
        </w:rPr>
      </w:pPr>
      <w:r>
        <w:rPr>
          <w:b/>
          <w:bCs/>
          <w:sz w:val="22"/>
          <w:szCs w:val="22"/>
        </w:rPr>
        <w:t>NOTA 9. INFORMACIÓN SOBRE LA NATURALEZA Y EL NIVEL DE RIESGO</w:t>
      </w:r>
    </w:p>
    <w:p w:rsidR="005E350B" w:rsidRDefault="005E350B" w:rsidP="00510B05">
      <w:pPr>
        <w:autoSpaceDE w:val="0"/>
        <w:autoSpaceDN w:val="0"/>
        <w:adjustRightInd w:val="0"/>
        <w:jc w:val="both"/>
        <w:rPr>
          <w:b/>
          <w:bCs/>
          <w:sz w:val="22"/>
          <w:szCs w:val="22"/>
        </w:rPr>
      </w:pPr>
      <w:r>
        <w:rPr>
          <w:b/>
          <w:bCs/>
          <w:sz w:val="22"/>
          <w:szCs w:val="22"/>
        </w:rPr>
        <w:t>PROCEDENTE DE INSTRUMENTOS FINANCIEROS</w:t>
      </w:r>
    </w:p>
    <w:p w:rsidR="00510B05" w:rsidRDefault="00510B05" w:rsidP="00510B05">
      <w:pPr>
        <w:autoSpaceDE w:val="0"/>
        <w:autoSpaceDN w:val="0"/>
        <w:adjustRightInd w:val="0"/>
        <w:jc w:val="both"/>
        <w:rPr>
          <w:b/>
          <w:bCs/>
          <w:sz w:val="22"/>
          <w:szCs w:val="22"/>
        </w:rPr>
      </w:pPr>
    </w:p>
    <w:p w:rsidR="005E350B" w:rsidRDefault="005E350B" w:rsidP="00510B05">
      <w:pPr>
        <w:autoSpaceDE w:val="0"/>
        <w:autoSpaceDN w:val="0"/>
        <w:adjustRightInd w:val="0"/>
        <w:jc w:val="both"/>
        <w:rPr>
          <w:sz w:val="22"/>
          <w:szCs w:val="22"/>
        </w:rPr>
      </w:pPr>
      <w:r>
        <w:rPr>
          <w:sz w:val="22"/>
          <w:szCs w:val="22"/>
        </w:rPr>
        <w:t>Las actividades de la Federación no están expuestas a riesgos financieros.</w:t>
      </w:r>
    </w:p>
    <w:p w:rsidR="005E350B" w:rsidRDefault="005E350B" w:rsidP="00510B05">
      <w:pPr>
        <w:autoSpaceDE w:val="0"/>
        <w:autoSpaceDN w:val="0"/>
        <w:adjustRightInd w:val="0"/>
        <w:jc w:val="both"/>
        <w:rPr>
          <w:sz w:val="22"/>
          <w:szCs w:val="22"/>
        </w:rPr>
      </w:pPr>
    </w:p>
    <w:p w:rsidR="005E350B" w:rsidRDefault="005E350B" w:rsidP="00510B05">
      <w:pPr>
        <w:autoSpaceDE w:val="0"/>
        <w:autoSpaceDN w:val="0"/>
        <w:adjustRightInd w:val="0"/>
        <w:jc w:val="both"/>
        <w:rPr>
          <w:b/>
          <w:bCs/>
          <w:sz w:val="22"/>
          <w:szCs w:val="22"/>
        </w:rPr>
      </w:pPr>
      <w:r>
        <w:rPr>
          <w:b/>
          <w:bCs/>
          <w:sz w:val="22"/>
          <w:szCs w:val="22"/>
        </w:rPr>
        <w:t>NOTA 10. FONDOS PROPIOS</w:t>
      </w:r>
    </w:p>
    <w:p w:rsidR="00DC0F3A" w:rsidRDefault="00DC0F3A" w:rsidP="00510B05">
      <w:pPr>
        <w:autoSpaceDE w:val="0"/>
        <w:autoSpaceDN w:val="0"/>
        <w:adjustRightInd w:val="0"/>
        <w:jc w:val="both"/>
        <w:rPr>
          <w:b/>
          <w:bCs/>
          <w:sz w:val="22"/>
          <w:szCs w:val="22"/>
        </w:rPr>
      </w:pPr>
    </w:p>
    <w:p w:rsidR="005E350B" w:rsidRDefault="005E350B" w:rsidP="00510B05">
      <w:pPr>
        <w:autoSpaceDE w:val="0"/>
        <w:autoSpaceDN w:val="0"/>
        <w:adjustRightInd w:val="0"/>
        <w:jc w:val="both"/>
        <w:rPr>
          <w:sz w:val="22"/>
          <w:szCs w:val="22"/>
        </w:rPr>
      </w:pPr>
      <w:r>
        <w:rPr>
          <w:sz w:val="22"/>
          <w:szCs w:val="22"/>
        </w:rPr>
        <w:t>Los Fondos Propios de la Real Federación Española de Tenis están compuestos por el Fondo Social y el Resultado del Ejercicio.</w:t>
      </w:r>
    </w:p>
    <w:p w:rsidR="005E350B" w:rsidRDefault="005E350B" w:rsidP="00510B05">
      <w:pPr>
        <w:autoSpaceDE w:val="0"/>
        <w:autoSpaceDN w:val="0"/>
        <w:adjustRightInd w:val="0"/>
        <w:jc w:val="both"/>
        <w:rPr>
          <w:sz w:val="22"/>
          <w:szCs w:val="22"/>
        </w:rPr>
      </w:pPr>
      <w:r>
        <w:rPr>
          <w:sz w:val="22"/>
          <w:szCs w:val="22"/>
        </w:rPr>
        <w:t>El saldo del Fondo Social a 31/12/1</w:t>
      </w:r>
      <w:r w:rsidR="009075E4">
        <w:rPr>
          <w:sz w:val="22"/>
          <w:szCs w:val="22"/>
        </w:rPr>
        <w:t>4</w:t>
      </w:r>
      <w:r>
        <w:rPr>
          <w:sz w:val="22"/>
          <w:szCs w:val="22"/>
        </w:rPr>
        <w:t xml:space="preserve"> de </w:t>
      </w:r>
      <w:r w:rsidR="009075E4">
        <w:rPr>
          <w:sz w:val="22"/>
          <w:szCs w:val="22"/>
        </w:rPr>
        <w:t>6.538,96</w:t>
      </w:r>
      <w:r>
        <w:rPr>
          <w:sz w:val="22"/>
          <w:szCs w:val="22"/>
        </w:rPr>
        <w:t xml:space="preserve"> euros es la acumulación neta de superávits y déficits habidos en la Federación en ejercicios anteriores. El Fondo Social a 31/12/1</w:t>
      </w:r>
      <w:r w:rsidR="009075E4">
        <w:rPr>
          <w:sz w:val="22"/>
          <w:szCs w:val="22"/>
        </w:rPr>
        <w:t>3</w:t>
      </w:r>
      <w:r>
        <w:rPr>
          <w:sz w:val="22"/>
          <w:szCs w:val="22"/>
        </w:rPr>
        <w:t xml:space="preserve"> era de </w:t>
      </w:r>
      <w:r w:rsidR="009075E4">
        <w:rPr>
          <w:sz w:val="22"/>
          <w:szCs w:val="22"/>
        </w:rPr>
        <w:t>9</w:t>
      </w:r>
      <w:r w:rsidR="00C055BB">
        <w:rPr>
          <w:sz w:val="22"/>
          <w:szCs w:val="22"/>
        </w:rPr>
        <w:t>.</w:t>
      </w:r>
      <w:r w:rsidR="009075E4">
        <w:rPr>
          <w:sz w:val="22"/>
          <w:szCs w:val="22"/>
        </w:rPr>
        <w:t>14</w:t>
      </w:r>
      <w:r w:rsidR="00C055BB">
        <w:rPr>
          <w:sz w:val="22"/>
          <w:szCs w:val="22"/>
        </w:rPr>
        <w:t>9,</w:t>
      </w:r>
      <w:r w:rsidR="009075E4">
        <w:rPr>
          <w:sz w:val="22"/>
          <w:szCs w:val="22"/>
        </w:rPr>
        <w:t>91</w:t>
      </w:r>
      <w:r w:rsidR="00C055BB">
        <w:rPr>
          <w:sz w:val="22"/>
          <w:szCs w:val="22"/>
        </w:rPr>
        <w:t xml:space="preserve"> </w:t>
      </w:r>
      <w:r>
        <w:rPr>
          <w:sz w:val="22"/>
          <w:szCs w:val="22"/>
        </w:rPr>
        <w:t>euros.</w:t>
      </w:r>
    </w:p>
    <w:p w:rsidR="00C055BB" w:rsidRDefault="00C055BB" w:rsidP="00510B05">
      <w:pPr>
        <w:autoSpaceDE w:val="0"/>
        <w:autoSpaceDN w:val="0"/>
        <w:adjustRightInd w:val="0"/>
        <w:jc w:val="both"/>
        <w:rPr>
          <w:sz w:val="22"/>
          <w:szCs w:val="22"/>
        </w:rPr>
      </w:pPr>
    </w:p>
    <w:p w:rsidR="00C055BB" w:rsidRDefault="00C055BB" w:rsidP="00510B05">
      <w:pPr>
        <w:autoSpaceDE w:val="0"/>
        <w:autoSpaceDN w:val="0"/>
        <w:adjustRightInd w:val="0"/>
        <w:jc w:val="both"/>
        <w:rPr>
          <w:b/>
          <w:bCs/>
          <w:sz w:val="22"/>
          <w:szCs w:val="22"/>
        </w:rPr>
      </w:pPr>
      <w:r>
        <w:rPr>
          <w:b/>
          <w:bCs/>
          <w:sz w:val="22"/>
          <w:szCs w:val="22"/>
        </w:rPr>
        <w:t>NOTA 11. MONEDA EXTRANJERA</w:t>
      </w:r>
    </w:p>
    <w:p w:rsidR="00C055BB" w:rsidRDefault="00C055BB" w:rsidP="00510B05">
      <w:pPr>
        <w:autoSpaceDE w:val="0"/>
        <w:autoSpaceDN w:val="0"/>
        <w:adjustRightInd w:val="0"/>
        <w:jc w:val="both"/>
        <w:rPr>
          <w:sz w:val="22"/>
          <w:szCs w:val="22"/>
        </w:rPr>
      </w:pPr>
      <w:r>
        <w:rPr>
          <w:sz w:val="22"/>
          <w:szCs w:val="22"/>
        </w:rPr>
        <w:t>No hay operaciones en moneda extranjera.</w:t>
      </w:r>
    </w:p>
    <w:p w:rsidR="00C055BB" w:rsidRDefault="00C055BB" w:rsidP="00510B05">
      <w:pPr>
        <w:autoSpaceDE w:val="0"/>
        <w:autoSpaceDN w:val="0"/>
        <w:adjustRightInd w:val="0"/>
        <w:jc w:val="both"/>
        <w:rPr>
          <w:sz w:val="22"/>
          <w:szCs w:val="22"/>
        </w:rPr>
      </w:pPr>
    </w:p>
    <w:p w:rsidR="00C055BB" w:rsidRDefault="00C055BB" w:rsidP="00510B05">
      <w:pPr>
        <w:autoSpaceDE w:val="0"/>
        <w:autoSpaceDN w:val="0"/>
        <w:adjustRightInd w:val="0"/>
        <w:jc w:val="both"/>
        <w:rPr>
          <w:b/>
          <w:bCs/>
          <w:sz w:val="22"/>
          <w:szCs w:val="22"/>
        </w:rPr>
      </w:pPr>
      <w:r>
        <w:rPr>
          <w:b/>
          <w:bCs/>
          <w:sz w:val="22"/>
          <w:szCs w:val="22"/>
        </w:rPr>
        <w:t>NOTA 12. PERIODIFICACIONES DE ACTIVO A CP</w:t>
      </w:r>
    </w:p>
    <w:p w:rsidR="00C055BB" w:rsidRDefault="00C055BB" w:rsidP="00510B05">
      <w:pPr>
        <w:autoSpaceDE w:val="0"/>
        <w:autoSpaceDN w:val="0"/>
        <w:adjustRightInd w:val="0"/>
        <w:jc w:val="both"/>
        <w:rPr>
          <w:sz w:val="22"/>
          <w:szCs w:val="22"/>
        </w:rPr>
      </w:pPr>
      <w:r>
        <w:rPr>
          <w:sz w:val="22"/>
          <w:szCs w:val="22"/>
        </w:rPr>
        <w:t>No existen periodificaciones.</w:t>
      </w:r>
    </w:p>
    <w:p w:rsidR="00C055BB" w:rsidRDefault="00C055BB" w:rsidP="00510B05">
      <w:pPr>
        <w:autoSpaceDE w:val="0"/>
        <w:autoSpaceDN w:val="0"/>
        <w:adjustRightInd w:val="0"/>
        <w:jc w:val="both"/>
        <w:rPr>
          <w:sz w:val="22"/>
          <w:szCs w:val="22"/>
        </w:rPr>
      </w:pPr>
    </w:p>
    <w:p w:rsidR="00C055BB" w:rsidRDefault="00C055BB" w:rsidP="00510B05">
      <w:pPr>
        <w:autoSpaceDE w:val="0"/>
        <w:autoSpaceDN w:val="0"/>
        <w:adjustRightInd w:val="0"/>
        <w:jc w:val="both"/>
        <w:rPr>
          <w:b/>
          <w:bCs/>
          <w:sz w:val="22"/>
          <w:szCs w:val="22"/>
        </w:rPr>
      </w:pPr>
      <w:r>
        <w:rPr>
          <w:b/>
          <w:bCs/>
          <w:sz w:val="22"/>
          <w:szCs w:val="22"/>
        </w:rPr>
        <w:t>NOTA 13. ADMINISTRACIONES PÚBLICAS Y SITUACIÓN FISCAL</w:t>
      </w:r>
    </w:p>
    <w:p w:rsidR="00C055BB" w:rsidRDefault="00C055BB" w:rsidP="00510B05">
      <w:pPr>
        <w:autoSpaceDE w:val="0"/>
        <w:autoSpaceDN w:val="0"/>
        <w:adjustRightInd w:val="0"/>
        <w:jc w:val="both"/>
        <w:rPr>
          <w:sz w:val="22"/>
          <w:szCs w:val="22"/>
        </w:rPr>
      </w:pPr>
      <w:r>
        <w:rPr>
          <w:sz w:val="22"/>
          <w:szCs w:val="22"/>
        </w:rPr>
        <w:t>La composición del saldo mantenido con las Administraciones Públicas al 31 de diciembre de 201</w:t>
      </w:r>
      <w:r w:rsidR="00C94ED7">
        <w:rPr>
          <w:sz w:val="22"/>
          <w:szCs w:val="22"/>
        </w:rPr>
        <w:t>4</w:t>
      </w:r>
      <w:r>
        <w:rPr>
          <w:sz w:val="22"/>
          <w:szCs w:val="22"/>
        </w:rPr>
        <w:t>, se detalla a continuación:</w:t>
      </w:r>
    </w:p>
    <w:tbl>
      <w:tblPr>
        <w:tblW w:w="0" w:type="auto"/>
        <w:tblCellSpacing w:w="20" w:type="dxa"/>
        <w:tblInd w:w="86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09"/>
        <w:gridCol w:w="1985"/>
        <w:gridCol w:w="1985"/>
      </w:tblGrid>
      <w:tr w:rsidR="00C055BB" w:rsidRPr="00AB6D74" w:rsidTr="00AB6D74">
        <w:trPr>
          <w:tblCellSpacing w:w="20" w:type="dxa"/>
        </w:trPr>
        <w:tc>
          <w:tcPr>
            <w:tcW w:w="1949" w:type="dxa"/>
            <w:shd w:val="clear" w:color="auto" w:fill="auto"/>
          </w:tcPr>
          <w:p w:rsidR="00C055BB" w:rsidRPr="00AB6D74" w:rsidRDefault="00C055BB" w:rsidP="00510B05">
            <w:pPr>
              <w:autoSpaceDE w:val="0"/>
              <w:autoSpaceDN w:val="0"/>
              <w:adjustRightInd w:val="0"/>
              <w:jc w:val="both"/>
              <w:rPr>
                <w:sz w:val="16"/>
                <w:szCs w:val="16"/>
              </w:rPr>
            </w:pPr>
            <w:r w:rsidRPr="00AB6D74">
              <w:rPr>
                <w:b/>
                <w:bCs/>
                <w:sz w:val="16"/>
                <w:szCs w:val="16"/>
              </w:rPr>
              <w:t xml:space="preserve">Concepto </w:t>
            </w:r>
          </w:p>
        </w:tc>
        <w:tc>
          <w:tcPr>
            <w:tcW w:w="1945" w:type="dxa"/>
            <w:shd w:val="clear" w:color="auto" w:fill="auto"/>
          </w:tcPr>
          <w:p w:rsidR="00C055BB" w:rsidRPr="00AB6D74" w:rsidRDefault="00C055BB" w:rsidP="00510B05">
            <w:pPr>
              <w:autoSpaceDE w:val="0"/>
              <w:autoSpaceDN w:val="0"/>
              <w:adjustRightInd w:val="0"/>
              <w:jc w:val="both"/>
              <w:rPr>
                <w:sz w:val="16"/>
                <w:szCs w:val="16"/>
              </w:rPr>
            </w:pPr>
            <w:r w:rsidRPr="00AB6D74">
              <w:rPr>
                <w:b/>
                <w:bCs/>
                <w:sz w:val="16"/>
                <w:szCs w:val="16"/>
              </w:rPr>
              <w:t>201</w:t>
            </w:r>
            <w:r w:rsidR="009075E4">
              <w:rPr>
                <w:b/>
                <w:bCs/>
                <w:sz w:val="16"/>
                <w:szCs w:val="16"/>
              </w:rPr>
              <w:t>4</w:t>
            </w:r>
          </w:p>
        </w:tc>
        <w:tc>
          <w:tcPr>
            <w:tcW w:w="1925" w:type="dxa"/>
            <w:shd w:val="clear" w:color="auto" w:fill="auto"/>
          </w:tcPr>
          <w:p w:rsidR="00C055BB" w:rsidRPr="00AB6D74" w:rsidRDefault="00C055BB" w:rsidP="00510B05">
            <w:pPr>
              <w:autoSpaceDE w:val="0"/>
              <w:autoSpaceDN w:val="0"/>
              <w:adjustRightInd w:val="0"/>
              <w:jc w:val="both"/>
              <w:rPr>
                <w:sz w:val="22"/>
                <w:szCs w:val="22"/>
              </w:rPr>
            </w:pPr>
            <w:r w:rsidRPr="009075E4">
              <w:rPr>
                <w:b/>
                <w:bCs/>
                <w:sz w:val="16"/>
                <w:szCs w:val="16"/>
              </w:rPr>
              <w:t>201</w:t>
            </w:r>
            <w:r w:rsidR="009075E4" w:rsidRPr="009075E4">
              <w:rPr>
                <w:b/>
                <w:bCs/>
                <w:sz w:val="16"/>
                <w:szCs w:val="16"/>
              </w:rPr>
              <w:t>3</w:t>
            </w:r>
          </w:p>
        </w:tc>
      </w:tr>
      <w:tr w:rsidR="00C055BB" w:rsidRPr="00AB6D74" w:rsidTr="00AB6D74">
        <w:trPr>
          <w:tblCellSpacing w:w="20" w:type="dxa"/>
        </w:trPr>
        <w:tc>
          <w:tcPr>
            <w:tcW w:w="5899" w:type="dxa"/>
            <w:gridSpan w:val="3"/>
            <w:shd w:val="clear" w:color="auto" w:fill="auto"/>
          </w:tcPr>
          <w:p w:rsidR="00C055BB" w:rsidRPr="00AB6D74" w:rsidRDefault="00C055BB" w:rsidP="00510B05">
            <w:pPr>
              <w:autoSpaceDE w:val="0"/>
              <w:autoSpaceDN w:val="0"/>
              <w:adjustRightInd w:val="0"/>
              <w:jc w:val="both"/>
              <w:rPr>
                <w:sz w:val="16"/>
                <w:szCs w:val="16"/>
              </w:rPr>
            </w:pPr>
            <w:r w:rsidRPr="00AB6D74">
              <w:rPr>
                <w:sz w:val="16"/>
                <w:szCs w:val="16"/>
              </w:rPr>
              <w:t>Saldos acreedores</w:t>
            </w:r>
          </w:p>
        </w:tc>
      </w:tr>
      <w:tr w:rsidR="006B6A0E" w:rsidRPr="00AB6D74" w:rsidTr="00AB6D74">
        <w:trPr>
          <w:tblCellSpacing w:w="20" w:type="dxa"/>
        </w:trPr>
        <w:tc>
          <w:tcPr>
            <w:tcW w:w="1949" w:type="dxa"/>
            <w:shd w:val="clear" w:color="auto" w:fill="auto"/>
          </w:tcPr>
          <w:p w:rsidR="006B6A0E" w:rsidRPr="00AB6D74" w:rsidRDefault="006B6A0E" w:rsidP="00510B05">
            <w:pPr>
              <w:autoSpaceDE w:val="0"/>
              <w:autoSpaceDN w:val="0"/>
              <w:adjustRightInd w:val="0"/>
              <w:jc w:val="both"/>
              <w:rPr>
                <w:sz w:val="16"/>
                <w:szCs w:val="16"/>
              </w:rPr>
            </w:pPr>
            <w:r w:rsidRPr="00AB6D74">
              <w:rPr>
                <w:sz w:val="16"/>
                <w:szCs w:val="16"/>
              </w:rPr>
              <w:t>Impuesto sobre la renta de las pers. físicas a pagar</w:t>
            </w:r>
          </w:p>
        </w:tc>
        <w:tc>
          <w:tcPr>
            <w:tcW w:w="1945" w:type="dxa"/>
            <w:shd w:val="clear" w:color="auto" w:fill="auto"/>
          </w:tcPr>
          <w:p w:rsidR="006B6A0E" w:rsidRPr="00AB6D74" w:rsidRDefault="00C94ED7" w:rsidP="00510B05">
            <w:pPr>
              <w:jc w:val="both"/>
              <w:rPr>
                <w:sz w:val="16"/>
                <w:szCs w:val="16"/>
              </w:rPr>
            </w:pPr>
            <w:r>
              <w:rPr>
                <w:sz w:val="16"/>
                <w:szCs w:val="16"/>
              </w:rPr>
              <w:t>94,18</w:t>
            </w:r>
          </w:p>
        </w:tc>
        <w:tc>
          <w:tcPr>
            <w:tcW w:w="1925" w:type="dxa"/>
            <w:shd w:val="clear" w:color="auto" w:fill="auto"/>
          </w:tcPr>
          <w:p w:rsidR="006B6A0E" w:rsidRPr="00AB6D74" w:rsidRDefault="006B6A0E" w:rsidP="00D45A63">
            <w:pPr>
              <w:autoSpaceDE w:val="0"/>
              <w:autoSpaceDN w:val="0"/>
              <w:adjustRightInd w:val="0"/>
              <w:jc w:val="both"/>
              <w:rPr>
                <w:sz w:val="16"/>
                <w:szCs w:val="16"/>
              </w:rPr>
            </w:pPr>
            <w:r w:rsidRPr="00AB6D74">
              <w:rPr>
                <w:sz w:val="16"/>
                <w:szCs w:val="16"/>
              </w:rPr>
              <w:t>1.414,45</w:t>
            </w:r>
          </w:p>
          <w:p w:rsidR="006B6A0E" w:rsidRPr="00AB6D74" w:rsidRDefault="006B6A0E" w:rsidP="00D45A63">
            <w:pPr>
              <w:jc w:val="both"/>
              <w:rPr>
                <w:sz w:val="16"/>
                <w:szCs w:val="16"/>
              </w:rPr>
            </w:pPr>
          </w:p>
        </w:tc>
      </w:tr>
      <w:tr w:rsidR="006B6A0E" w:rsidRPr="00AB6D74" w:rsidTr="00AB6D74">
        <w:trPr>
          <w:tblCellSpacing w:w="20" w:type="dxa"/>
        </w:trPr>
        <w:tc>
          <w:tcPr>
            <w:tcW w:w="1949" w:type="dxa"/>
            <w:shd w:val="clear" w:color="auto" w:fill="auto"/>
          </w:tcPr>
          <w:p w:rsidR="006B6A0E" w:rsidRPr="00AB6D74" w:rsidRDefault="006B6A0E" w:rsidP="00510B05">
            <w:pPr>
              <w:autoSpaceDE w:val="0"/>
              <w:autoSpaceDN w:val="0"/>
              <w:adjustRightInd w:val="0"/>
              <w:jc w:val="both"/>
              <w:rPr>
                <w:b/>
                <w:sz w:val="16"/>
                <w:szCs w:val="16"/>
              </w:rPr>
            </w:pPr>
            <w:r w:rsidRPr="00AB6D74">
              <w:rPr>
                <w:b/>
                <w:bCs/>
                <w:sz w:val="16"/>
                <w:szCs w:val="16"/>
              </w:rPr>
              <w:t>Total</w:t>
            </w:r>
          </w:p>
        </w:tc>
        <w:tc>
          <w:tcPr>
            <w:tcW w:w="1945" w:type="dxa"/>
            <w:shd w:val="clear" w:color="auto" w:fill="auto"/>
          </w:tcPr>
          <w:p w:rsidR="006B6A0E" w:rsidRPr="00AB6D74" w:rsidRDefault="00C94ED7" w:rsidP="00510B05">
            <w:pPr>
              <w:jc w:val="both"/>
              <w:rPr>
                <w:b/>
                <w:sz w:val="16"/>
                <w:szCs w:val="16"/>
              </w:rPr>
            </w:pPr>
            <w:r>
              <w:rPr>
                <w:b/>
                <w:sz w:val="16"/>
                <w:szCs w:val="16"/>
              </w:rPr>
              <w:t>94,18</w:t>
            </w:r>
          </w:p>
        </w:tc>
        <w:tc>
          <w:tcPr>
            <w:tcW w:w="1925" w:type="dxa"/>
            <w:shd w:val="clear" w:color="auto" w:fill="auto"/>
          </w:tcPr>
          <w:p w:rsidR="006B6A0E" w:rsidRPr="00AB6D74" w:rsidRDefault="006B6A0E" w:rsidP="00D45A63">
            <w:pPr>
              <w:autoSpaceDE w:val="0"/>
              <w:autoSpaceDN w:val="0"/>
              <w:adjustRightInd w:val="0"/>
              <w:jc w:val="both"/>
              <w:rPr>
                <w:b/>
                <w:sz w:val="16"/>
                <w:szCs w:val="16"/>
              </w:rPr>
            </w:pPr>
            <w:r w:rsidRPr="00AB6D74">
              <w:rPr>
                <w:b/>
                <w:sz w:val="16"/>
                <w:szCs w:val="16"/>
              </w:rPr>
              <w:t>1.414,45</w:t>
            </w:r>
          </w:p>
          <w:p w:rsidR="006B6A0E" w:rsidRPr="00AB6D74" w:rsidRDefault="006B6A0E" w:rsidP="00D45A63">
            <w:pPr>
              <w:jc w:val="both"/>
              <w:rPr>
                <w:b/>
                <w:sz w:val="16"/>
                <w:szCs w:val="16"/>
              </w:rPr>
            </w:pPr>
          </w:p>
        </w:tc>
      </w:tr>
    </w:tbl>
    <w:p w:rsidR="00C055BB" w:rsidRDefault="00C055BB" w:rsidP="00510B05">
      <w:pPr>
        <w:autoSpaceDE w:val="0"/>
        <w:autoSpaceDN w:val="0"/>
        <w:adjustRightInd w:val="0"/>
        <w:jc w:val="both"/>
        <w:rPr>
          <w:sz w:val="22"/>
          <w:szCs w:val="22"/>
        </w:rPr>
      </w:pPr>
    </w:p>
    <w:p w:rsidR="00C055BB" w:rsidRDefault="00C055BB" w:rsidP="00510B05">
      <w:pPr>
        <w:autoSpaceDE w:val="0"/>
        <w:autoSpaceDN w:val="0"/>
        <w:adjustRightInd w:val="0"/>
        <w:jc w:val="both"/>
        <w:rPr>
          <w:b/>
          <w:bCs/>
          <w:sz w:val="22"/>
          <w:szCs w:val="22"/>
        </w:rPr>
      </w:pPr>
      <w:r>
        <w:rPr>
          <w:b/>
          <w:bCs/>
          <w:sz w:val="22"/>
          <w:szCs w:val="22"/>
        </w:rPr>
        <w:t>Situación Fiscal</w:t>
      </w:r>
    </w:p>
    <w:p w:rsidR="00C055BB" w:rsidRDefault="00C055BB" w:rsidP="00510B05">
      <w:pPr>
        <w:autoSpaceDE w:val="0"/>
        <w:autoSpaceDN w:val="0"/>
        <w:adjustRightInd w:val="0"/>
        <w:jc w:val="both"/>
        <w:rPr>
          <w:sz w:val="22"/>
          <w:szCs w:val="22"/>
        </w:rPr>
      </w:pPr>
      <w:r>
        <w:rPr>
          <w:sz w:val="22"/>
          <w:szCs w:val="22"/>
        </w:rPr>
        <w:t>Según las disposiciones legales vigentes las liquidaciones de impuestos no pueden considerarse definitivas hasta que no han sido inspeccionadas por las autoridades fiscales o haya transcurrido el plazo de prescripción de cuatro períodos impositivos. La Federación tiene pendientes de inspección todos los impuestos a que se encuentra sujeta desde el ejercicio 2010, salvo el Impuesto de Sociedades desde el ejercicio 2009. En consecuencia, con motivo de eventuales inspecciones, podrían surgir pasivos adicionales a lo registrado por la Federación.</w:t>
      </w:r>
    </w:p>
    <w:p w:rsidR="00C055BB" w:rsidRDefault="00C055BB" w:rsidP="00510B05">
      <w:pPr>
        <w:autoSpaceDE w:val="0"/>
        <w:autoSpaceDN w:val="0"/>
        <w:adjustRightInd w:val="0"/>
        <w:jc w:val="both"/>
        <w:rPr>
          <w:sz w:val="22"/>
          <w:szCs w:val="22"/>
        </w:rPr>
      </w:pPr>
      <w:r>
        <w:rPr>
          <w:sz w:val="22"/>
          <w:szCs w:val="22"/>
        </w:rPr>
        <w:t>No obstante, la Dirección de la misma considera que, dichos pasivos, en caso de producirse, no serían significativos en comparación con los fondos propios ni con los resultados anuales obtenidos.</w:t>
      </w:r>
    </w:p>
    <w:p w:rsidR="00C055BB" w:rsidRDefault="00C055BB" w:rsidP="00510B05">
      <w:pPr>
        <w:autoSpaceDE w:val="0"/>
        <w:autoSpaceDN w:val="0"/>
        <w:adjustRightInd w:val="0"/>
        <w:jc w:val="both"/>
        <w:rPr>
          <w:b/>
          <w:bCs/>
          <w:sz w:val="22"/>
          <w:szCs w:val="22"/>
        </w:rPr>
      </w:pPr>
      <w:r>
        <w:rPr>
          <w:b/>
          <w:bCs/>
          <w:sz w:val="22"/>
          <w:szCs w:val="22"/>
        </w:rPr>
        <w:t>Impuesto sobre el Valor Añadido</w:t>
      </w:r>
    </w:p>
    <w:p w:rsidR="00C055BB" w:rsidRDefault="00C055BB" w:rsidP="00510B05">
      <w:pPr>
        <w:autoSpaceDE w:val="0"/>
        <w:autoSpaceDN w:val="0"/>
        <w:adjustRightInd w:val="0"/>
        <w:jc w:val="both"/>
        <w:rPr>
          <w:sz w:val="22"/>
          <w:szCs w:val="22"/>
        </w:rPr>
      </w:pPr>
      <w:r>
        <w:rPr>
          <w:sz w:val="22"/>
          <w:szCs w:val="22"/>
        </w:rPr>
        <w:t>La Federación no aplica IVA</w:t>
      </w:r>
    </w:p>
    <w:p w:rsidR="00C055BB" w:rsidRDefault="00C055BB" w:rsidP="00510B05">
      <w:pPr>
        <w:autoSpaceDE w:val="0"/>
        <w:autoSpaceDN w:val="0"/>
        <w:adjustRightInd w:val="0"/>
        <w:jc w:val="both"/>
        <w:rPr>
          <w:b/>
          <w:bCs/>
          <w:sz w:val="22"/>
          <w:szCs w:val="22"/>
        </w:rPr>
      </w:pPr>
      <w:r>
        <w:rPr>
          <w:b/>
          <w:bCs/>
          <w:sz w:val="22"/>
          <w:szCs w:val="22"/>
        </w:rPr>
        <w:t>Impuesto sobre Beneficios</w:t>
      </w:r>
    </w:p>
    <w:p w:rsidR="00C055BB" w:rsidRDefault="00C055BB" w:rsidP="00510B05">
      <w:pPr>
        <w:autoSpaceDE w:val="0"/>
        <w:autoSpaceDN w:val="0"/>
        <w:adjustRightInd w:val="0"/>
        <w:jc w:val="both"/>
        <w:rPr>
          <w:sz w:val="22"/>
          <w:szCs w:val="22"/>
        </w:rPr>
      </w:pPr>
      <w:r>
        <w:rPr>
          <w:sz w:val="22"/>
          <w:szCs w:val="22"/>
        </w:rPr>
        <w:t xml:space="preserve">De acuerdo con lo comentado en la Nota </w:t>
      </w:r>
      <w:smartTag w:uri="urn:schemas-microsoft-com:office:smarttags" w:element="metricconverter">
        <w:smartTagPr>
          <w:attr w:name="ProductID" w:val="4.f"/>
        </w:smartTagPr>
        <w:r>
          <w:rPr>
            <w:sz w:val="22"/>
            <w:szCs w:val="22"/>
          </w:rPr>
          <w:t>4.f</w:t>
        </w:r>
      </w:smartTag>
      <w:r>
        <w:rPr>
          <w:sz w:val="22"/>
          <w:szCs w:val="22"/>
        </w:rPr>
        <w:t>, la Federación se ha acogido al régimen fiscal especial contemplado en la Ley 49/2002. En consecuencia, en su declaración y liquidación del Impuesto sobre Sociedades no se considera ningún rendimiento económico de actividad empresarial, resultando la totalidad de sus ingresos exentos a los efectos de este impuesto.</w:t>
      </w:r>
    </w:p>
    <w:p w:rsidR="00490DFF" w:rsidRDefault="00490DFF" w:rsidP="00510B05">
      <w:pPr>
        <w:autoSpaceDE w:val="0"/>
        <w:autoSpaceDN w:val="0"/>
        <w:adjustRightInd w:val="0"/>
        <w:jc w:val="both"/>
        <w:rPr>
          <w:b/>
          <w:bCs/>
          <w:sz w:val="22"/>
          <w:szCs w:val="22"/>
        </w:rPr>
      </w:pPr>
    </w:p>
    <w:p w:rsidR="00C055BB" w:rsidRDefault="00490DFF" w:rsidP="00510B05">
      <w:pPr>
        <w:autoSpaceDE w:val="0"/>
        <w:autoSpaceDN w:val="0"/>
        <w:adjustRightInd w:val="0"/>
        <w:jc w:val="both"/>
        <w:rPr>
          <w:b/>
          <w:bCs/>
          <w:sz w:val="22"/>
          <w:szCs w:val="22"/>
        </w:rPr>
      </w:pPr>
      <w:r>
        <w:rPr>
          <w:b/>
          <w:bCs/>
          <w:sz w:val="22"/>
          <w:szCs w:val="22"/>
        </w:rPr>
        <w:t>NOTA 14. INGRESOS Y GASTOS</w:t>
      </w:r>
    </w:p>
    <w:p w:rsidR="00DC0F3A" w:rsidRDefault="00DC0F3A" w:rsidP="00510B05">
      <w:pPr>
        <w:autoSpaceDE w:val="0"/>
        <w:autoSpaceDN w:val="0"/>
        <w:adjustRightInd w:val="0"/>
        <w:jc w:val="both"/>
        <w:rPr>
          <w:b/>
          <w:bCs/>
          <w:sz w:val="22"/>
          <w:szCs w:val="22"/>
        </w:rPr>
      </w:pPr>
    </w:p>
    <w:p w:rsidR="00DC0F3A" w:rsidRPr="00E56E2E" w:rsidRDefault="00490DFF" w:rsidP="00510B05">
      <w:pPr>
        <w:autoSpaceDE w:val="0"/>
        <w:autoSpaceDN w:val="0"/>
        <w:adjustRightInd w:val="0"/>
        <w:jc w:val="both"/>
        <w:rPr>
          <w:sz w:val="22"/>
          <w:szCs w:val="22"/>
          <w:u w:val="single"/>
        </w:rPr>
      </w:pPr>
      <w:r w:rsidRPr="00E56E2E">
        <w:rPr>
          <w:sz w:val="22"/>
          <w:szCs w:val="22"/>
          <w:u w:val="single"/>
        </w:rPr>
        <w:t>Otros gastos de explotación</w:t>
      </w:r>
    </w:p>
    <w:p w:rsidR="00490DFF" w:rsidRDefault="00490DFF" w:rsidP="00510B05">
      <w:pPr>
        <w:autoSpaceDE w:val="0"/>
        <w:autoSpaceDN w:val="0"/>
        <w:adjustRightInd w:val="0"/>
        <w:jc w:val="both"/>
        <w:rPr>
          <w:sz w:val="22"/>
          <w:szCs w:val="22"/>
        </w:rPr>
      </w:pPr>
      <w:r>
        <w:rPr>
          <w:sz w:val="22"/>
          <w:szCs w:val="22"/>
        </w:rPr>
        <w:t>Las principales partidas que componen el saldo del epígrafe Otros Gastos de Explotación se presentan en el siguiente cuadro:</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13"/>
        <w:gridCol w:w="1984"/>
        <w:gridCol w:w="1984"/>
      </w:tblGrid>
      <w:tr w:rsidR="00E56E2E" w:rsidRPr="00AB6D74" w:rsidTr="00AB6D74">
        <w:trPr>
          <w:tblCellSpacing w:w="20" w:type="dxa"/>
        </w:trPr>
        <w:tc>
          <w:tcPr>
            <w:tcW w:w="1953" w:type="dxa"/>
            <w:shd w:val="clear" w:color="auto" w:fill="auto"/>
          </w:tcPr>
          <w:p w:rsidR="00E56E2E" w:rsidRPr="00AB6D74" w:rsidRDefault="00E56E2E" w:rsidP="00510B05">
            <w:pPr>
              <w:autoSpaceDE w:val="0"/>
              <w:autoSpaceDN w:val="0"/>
              <w:adjustRightInd w:val="0"/>
              <w:jc w:val="both"/>
              <w:rPr>
                <w:b/>
                <w:bCs/>
                <w:sz w:val="16"/>
                <w:szCs w:val="16"/>
              </w:rPr>
            </w:pPr>
            <w:r w:rsidRPr="00AB6D74">
              <w:rPr>
                <w:b/>
                <w:bCs/>
                <w:sz w:val="16"/>
                <w:szCs w:val="16"/>
              </w:rPr>
              <w:t xml:space="preserve">Concepto </w:t>
            </w:r>
          </w:p>
          <w:p w:rsidR="00E56E2E" w:rsidRPr="00AB6D74" w:rsidRDefault="00E56E2E" w:rsidP="00510B05">
            <w:pPr>
              <w:autoSpaceDE w:val="0"/>
              <w:autoSpaceDN w:val="0"/>
              <w:adjustRightInd w:val="0"/>
              <w:jc w:val="both"/>
              <w:rPr>
                <w:sz w:val="16"/>
                <w:szCs w:val="16"/>
              </w:rPr>
            </w:pPr>
          </w:p>
        </w:tc>
        <w:tc>
          <w:tcPr>
            <w:tcW w:w="1944" w:type="dxa"/>
            <w:shd w:val="clear" w:color="auto" w:fill="auto"/>
          </w:tcPr>
          <w:p w:rsidR="00E56E2E" w:rsidRPr="00AB6D74" w:rsidRDefault="00E56E2E" w:rsidP="00510B05">
            <w:pPr>
              <w:autoSpaceDE w:val="0"/>
              <w:autoSpaceDN w:val="0"/>
              <w:adjustRightInd w:val="0"/>
              <w:jc w:val="both"/>
              <w:rPr>
                <w:b/>
                <w:bCs/>
                <w:sz w:val="16"/>
                <w:szCs w:val="16"/>
              </w:rPr>
            </w:pPr>
            <w:r w:rsidRPr="00AB6D74">
              <w:rPr>
                <w:b/>
                <w:bCs/>
                <w:sz w:val="16"/>
                <w:szCs w:val="16"/>
              </w:rPr>
              <w:t>201</w:t>
            </w:r>
            <w:r w:rsidR="009774B2">
              <w:rPr>
                <w:b/>
                <w:bCs/>
                <w:sz w:val="16"/>
                <w:szCs w:val="16"/>
              </w:rPr>
              <w:t>4</w:t>
            </w:r>
            <w:r w:rsidRPr="00AB6D74">
              <w:rPr>
                <w:b/>
                <w:bCs/>
                <w:sz w:val="16"/>
                <w:szCs w:val="16"/>
              </w:rPr>
              <w:t xml:space="preserve"> </w:t>
            </w:r>
          </w:p>
          <w:p w:rsidR="00E56E2E" w:rsidRPr="00AB6D74" w:rsidRDefault="00E56E2E" w:rsidP="00510B05">
            <w:pPr>
              <w:autoSpaceDE w:val="0"/>
              <w:autoSpaceDN w:val="0"/>
              <w:adjustRightInd w:val="0"/>
              <w:jc w:val="both"/>
              <w:rPr>
                <w:sz w:val="16"/>
                <w:szCs w:val="16"/>
              </w:rPr>
            </w:pPr>
          </w:p>
        </w:tc>
        <w:tc>
          <w:tcPr>
            <w:tcW w:w="1924" w:type="dxa"/>
            <w:shd w:val="clear" w:color="auto" w:fill="auto"/>
          </w:tcPr>
          <w:p w:rsidR="00E56E2E" w:rsidRPr="00AB6D74" w:rsidRDefault="00E56E2E" w:rsidP="00510B05">
            <w:pPr>
              <w:autoSpaceDE w:val="0"/>
              <w:autoSpaceDN w:val="0"/>
              <w:adjustRightInd w:val="0"/>
              <w:jc w:val="both"/>
              <w:rPr>
                <w:sz w:val="16"/>
                <w:szCs w:val="16"/>
              </w:rPr>
            </w:pPr>
            <w:r w:rsidRPr="00AB6D74">
              <w:rPr>
                <w:b/>
                <w:bCs/>
                <w:sz w:val="16"/>
                <w:szCs w:val="16"/>
              </w:rPr>
              <w:t>201</w:t>
            </w:r>
            <w:r w:rsidR="009774B2">
              <w:rPr>
                <w:b/>
                <w:bCs/>
                <w:sz w:val="16"/>
                <w:szCs w:val="16"/>
              </w:rPr>
              <w:t>3</w:t>
            </w:r>
          </w:p>
        </w:tc>
      </w:tr>
      <w:tr w:rsidR="00E56E2E" w:rsidRPr="00AB6D74" w:rsidTr="00AB6D74">
        <w:trPr>
          <w:tblCellSpacing w:w="20" w:type="dxa"/>
        </w:trPr>
        <w:tc>
          <w:tcPr>
            <w:tcW w:w="5901" w:type="dxa"/>
            <w:gridSpan w:val="3"/>
            <w:shd w:val="clear" w:color="auto" w:fill="auto"/>
          </w:tcPr>
          <w:p w:rsidR="00E56E2E" w:rsidRPr="00AB6D74" w:rsidRDefault="00E56E2E" w:rsidP="00510B05">
            <w:pPr>
              <w:autoSpaceDE w:val="0"/>
              <w:autoSpaceDN w:val="0"/>
              <w:adjustRightInd w:val="0"/>
              <w:jc w:val="both"/>
              <w:rPr>
                <w:sz w:val="16"/>
                <w:szCs w:val="16"/>
              </w:rPr>
            </w:pPr>
            <w:r w:rsidRPr="00AB6D74">
              <w:rPr>
                <w:b/>
                <w:bCs/>
                <w:sz w:val="16"/>
                <w:szCs w:val="16"/>
              </w:rPr>
              <w:t>Servicios Exteriores:</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sz w:val="16"/>
                <w:szCs w:val="16"/>
              </w:rPr>
            </w:pPr>
            <w:r w:rsidRPr="00AB6D74">
              <w:rPr>
                <w:sz w:val="16"/>
                <w:szCs w:val="16"/>
              </w:rPr>
              <w:t>Arrendamientos y cánones</w:t>
            </w:r>
          </w:p>
        </w:tc>
        <w:tc>
          <w:tcPr>
            <w:tcW w:w="1944" w:type="dxa"/>
            <w:shd w:val="clear" w:color="auto" w:fill="auto"/>
          </w:tcPr>
          <w:p w:rsidR="009774B2" w:rsidRPr="00AB6D74" w:rsidRDefault="009774B2" w:rsidP="00510B05">
            <w:pPr>
              <w:autoSpaceDE w:val="0"/>
              <w:autoSpaceDN w:val="0"/>
              <w:adjustRightInd w:val="0"/>
              <w:jc w:val="both"/>
              <w:rPr>
                <w:sz w:val="16"/>
                <w:szCs w:val="16"/>
              </w:rPr>
            </w:pPr>
            <w:r>
              <w:rPr>
                <w:sz w:val="16"/>
                <w:szCs w:val="16"/>
              </w:rPr>
              <w:t>769,40</w:t>
            </w:r>
          </w:p>
        </w:tc>
        <w:tc>
          <w:tcPr>
            <w:tcW w:w="192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2.361,15</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sz w:val="16"/>
                <w:szCs w:val="16"/>
              </w:rPr>
            </w:pPr>
            <w:r w:rsidRPr="00AB6D74">
              <w:rPr>
                <w:sz w:val="16"/>
                <w:szCs w:val="16"/>
              </w:rPr>
              <w:t>Reparación y conservación</w:t>
            </w:r>
          </w:p>
          <w:p w:rsidR="009774B2" w:rsidRPr="00AB6D74" w:rsidRDefault="009774B2" w:rsidP="00510B05">
            <w:pPr>
              <w:autoSpaceDE w:val="0"/>
              <w:autoSpaceDN w:val="0"/>
              <w:adjustRightInd w:val="0"/>
              <w:jc w:val="both"/>
              <w:rPr>
                <w:sz w:val="16"/>
                <w:szCs w:val="16"/>
              </w:rPr>
            </w:pPr>
          </w:p>
        </w:tc>
        <w:tc>
          <w:tcPr>
            <w:tcW w:w="1944" w:type="dxa"/>
            <w:shd w:val="clear" w:color="auto" w:fill="auto"/>
          </w:tcPr>
          <w:p w:rsidR="009774B2" w:rsidRPr="00AB6D74" w:rsidRDefault="009774B2" w:rsidP="00510B05">
            <w:pPr>
              <w:autoSpaceDE w:val="0"/>
              <w:autoSpaceDN w:val="0"/>
              <w:adjustRightInd w:val="0"/>
              <w:jc w:val="both"/>
              <w:rPr>
                <w:sz w:val="16"/>
                <w:szCs w:val="16"/>
              </w:rPr>
            </w:pPr>
            <w:r>
              <w:rPr>
                <w:sz w:val="16"/>
                <w:szCs w:val="16"/>
              </w:rPr>
              <w:t>266,20</w:t>
            </w:r>
          </w:p>
        </w:tc>
        <w:tc>
          <w:tcPr>
            <w:tcW w:w="192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424,95</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sz w:val="16"/>
                <w:szCs w:val="16"/>
              </w:rPr>
            </w:pPr>
            <w:r w:rsidRPr="00AB6D74">
              <w:rPr>
                <w:sz w:val="16"/>
                <w:szCs w:val="16"/>
              </w:rPr>
              <w:t>Servicios profesionales:</w:t>
            </w:r>
          </w:p>
        </w:tc>
        <w:tc>
          <w:tcPr>
            <w:tcW w:w="1944" w:type="dxa"/>
            <w:shd w:val="clear" w:color="auto" w:fill="auto"/>
          </w:tcPr>
          <w:p w:rsidR="009774B2" w:rsidRPr="00AB6D74" w:rsidRDefault="009774B2" w:rsidP="00510B05">
            <w:pPr>
              <w:autoSpaceDE w:val="0"/>
              <w:autoSpaceDN w:val="0"/>
              <w:adjustRightInd w:val="0"/>
              <w:jc w:val="both"/>
              <w:rPr>
                <w:sz w:val="16"/>
                <w:szCs w:val="16"/>
              </w:rPr>
            </w:pPr>
            <w:r>
              <w:rPr>
                <w:sz w:val="16"/>
                <w:szCs w:val="16"/>
              </w:rPr>
              <w:t>7417,69</w:t>
            </w:r>
          </w:p>
        </w:tc>
        <w:tc>
          <w:tcPr>
            <w:tcW w:w="192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5.122,04</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sz w:val="16"/>
                <w:szCs w:val="16"/>
              </w:rPr>
            </w:pPr>
            <w:r>
              <w:rPr>
                <w:sz w:val="16"/>
                <w:szCs w:val="16"/>
              </w:rPr>
              <w:t>Transportes:</w:t>
            </w:r>
          </w:p>
        </w:tc>
        <w:tc>
          <w:tcPr>
            <w:tcW w:w="1944" w:type="dxa"/>
            <w:shd w:val="clear" w:color="auto" w:fill="auto"/>
          </w:tcPr>
          <w:p w:rsidR="009774B2" w:rsidRDefault="009774B2" w:rsidP="00510B05">
            <w:pPr>
              <w:autoSpaceDE w:val="0"/>
              <w:autoSpaceDN w:val="0"/>
              <w:adjustRightInd w:val="0"/>
              <w:jc w:val="both"/>
              <w:rPr>
                <w:sz w:val="16"/>
                <w:szCs w:val="16"/>
              </w:rPr>
            </w:pPr>
            <w:r>
              <w:rPr>
                <w:sz w:val="16"/>
                <w:szCs w:val="16"/>
              </w:rPr>
              <w:t>701,80</w:t>
            </w:r>
          </w:p>
        </w:tc>
        <w:tc>
          <w:tcPr>
            <w:tcW w:w="1924" w:type="dxa"/>
            <w:shd w:val="clear" w:color="auto" w:fill="auto"/>
          </w:tcPr>
          <w:p w:rsidR="009774B2" w:rsidRPr="00AB6D74" w:rsidRDefault="009774B2" w:rsidP="00D90554">
            <w:pPr>
              <w:autoSpaceDE w:val="0"/>
              <w:autoSpaceDN w:val="0"/>
              <w:adjustRightInd w:val="0"/>
              <w:jc w:val="both"/>
              <w:rPr>
                <w:sz w:val="16"/>
                <w:szCs w:val="16"/>
              </w:rPr>
            </w:pP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sz w:val="16"/>
                <w:szCs w:val="16"/>
              </w:rPr>
            </w:pPr>
            <w:r w:rsidRPr="00AB6D74">
              <w:rPr>
                <w:sz w:val="16"/>
                <w:szCs w:val="16"/>
              </w:rPr>
              <w:t>Primas de seguros:</w:t>
            </w:r>
          </w:p>
        </w:tc>
        <w:tc>
          <w:tcPr>
            <w:tcW w:w="1944" w:type="dxa"/>
            <w:shd w:val="clear" w:color="auto" w:fill="auto"/>
          </w:tcPr>
          <w:p w:rsidR="009774B2" w:rsidRPr="00AB6D74" w:rsidRDefault="009774B2" w:rsidP="00510B05">
            <w:pPr>
              <w:autoSpaceDE w:val="0"/>
              <w:autoSpaceDN w:val="0"/>
              <w:adjustRightInd w:val="0"/>
              <w:jc w:val="both"/>
              <w:rPr>
                <w:sz w:val="16"/>
                <w:szCs w:val="16"/>
              </w:rPr>
            </w:pPr>
            <w:r>
              <w:rPr>
                <w:sz w:val="16"/>
                <w:szCs w:val="16"/>
              </w:rPr>
              <w:t>2.898,73</w:t>
            </w:r>
          </w:p>
        </w:tc>
        <w:tc>
          <w:tcPr>
            <w:tcW w:w="192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2.049,53</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sz w:val="16"/>
                <w:szCs w:val="16"/>
              </w:rPr>
            </w:pPr>
            <w:r w:rsidRPr="00AB6D74">
              <w:rPr>
                <w:sz w:val="16"/>
                <w:szCs w:val="16"/>
              </w:rPr>
              <w:t>Servicios bancarios y similares</w:t>
            </w:r>
          </w:p>
        </w:tc>
        <w:tc>
          <w:tcPr>
            <w:tcW w:w="1944" w:type="dxa"/>
            <w:shd w:val="clear" w:color="auto" w:fill="auto"/>
          </w:tcPr>
          <w:p w:rsidR="009774B2" w:rsidRPr="00AB6D74" w:rsidRDefault="009774B2" w:rsidP="00510B05">
            <w:pPr>
              <w:autoSpaceDE w:val="0"/>
              <w:autoSpaceDN w:val="0"/>
              <w:adjustRightInd w:val="0"/>
              <w:jc w:val="both"/>
              <w:rPr>
                <w:sz w:val="16"/>
                <w:szCs w:val="16"/>
              </w:rPr>
            </w:pPr>
            <w:r>
              <w:rPr>
                <w:sz w:val="16"/>
                <w:szCs w:val="16"/>
              </w:rPr>
              <w:t>650,96</w:t>
            </w:r>
          </w:p>
        </w:tc>
        <w:tc>
          <w:tcPr>
            <w:tcW w:w="192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1.182,68</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sz w:val="16"/>
                <w:szCs w:val="16"/>
              </w:rPr>
            </w:pPr>
            <w:r w:rsidRPr="00AB6D74">
              <w:rPr>
                <w:sz w:val="16"/>
                <w:szCs w:val="16"/>
              </w:rPr>
              <w:t>Suministros</w:t>
            </w:r>
          </w:p>
        </w:tc>
        <w:tc>
          <w:tcPr>
            <w:tcW w:w="1944" w:type="dxa"/>
            <w:shd w:val="clear" w:color="auto" w:fill="auto"/>
          </w:tcPr>
          <w:p w:rsidR="009774B2" w:rsidRPr="00AB6D74" w:rsidRDefault="009774B2" w:rsidP="00510B05">
            <w:pPr>
              <w:autoSpaceDE w:val="0"/>
              <w:autoSpaceDN w:val="0"/>
              <w:adjustRightInd w:val="0"/>
              <w:jc w:val="both"/>
              <w:rPr>
                <w:sz w:val="16"/>
                <w:szCs w:val="16"/>
              </w:rPr>
            </w:pPr>
            <w:r>
              <w:rPr>
                <w:sz w:val="16"/>
                <w:szCs w:val="16"/>
              </w:rPr>
              <w:t>40,00</w:t>
            </w:r>
          </w:p>
        </w:tc>
        <w:tc>
          <w:tcPr>
            <w:tcW w:w="192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26,49</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sz w:val="16"/>
                <w:szCs w:val="16"/>
              </w:rPr>
            </w:pPr>
            <w:r w:rsidRPr="00AB6D74">
              <w:rPr>
                <w:sz w:val="16"/>
                <w:szCs w:val="16"/>
              </w:rPr>
              <w:t>Otros servicios</w:t>
            </w:r>
          </w:p>
        </w:tc>
        <w:tc>
          <w:tcPr>
            <w:tcW w:w="1944" w:type="dxa"/>
            <w:shd w:val="clear" w:color="auto" w:fill="auto"/>
          </w:tcPr>
          <w:p w:rsidR="009774B2" w:rsidRPr="00AB6D74" w:rsidRDefault="009774B2" w:rsidP="00510B05">
            <w:pPr>
              <w:autoSpaceDE w:val="0"/>
              <w:autoSpaceDN w:val="0"/>
              <w:adjustRightInd w:val="0"/>
              <w:jc w:val="both"/>
              <w:rPr>
                <w:sz w:val="16"/>
                <w:szCs w:val="16"/>
              </w:rPr>
            </w:pPr>
            <w:r>
              <w:rPr>
                <w:sz w:val="16"/>
                <w:szCs w:val="16"/>
              </w:rPr>
              <w:t>46.153,32</w:t>
            </w:r>
          </w:p>
        </w:tc>
        <w:tc>
          <w:tcPr>
            <w:tcW w:w="192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56.750,88</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b/>
                <w:sz w:val="16"/>
                <w:szCs w:val="16"/>
              </w:rPr>
            </w:pPr>
            <w:r w:rsidRPr="00AB6D74">
              <w:rPr>
                <w:b/>
                <w:bCs/>
                <w:sz w:val="16"/>
                <w:szCs w:val="16"/>
              </w:rPr>
              <w:t>Total Servicios Exteriores</w:t>
            </w:r>
          </w:p>
        </w:tc>
        <w:tc>
          <w:tcPr>
            <w:tcW w:w="1944" w:type="dxa"/>
            <w:shd w:val="clear" w:color="auto" w:fill="auto"/>
          </w:tcPr>
          <w:p w:rsidR="009774B2" w:rsidRPr="00AB6D74" w:rsidRDefault="009774B2" w:rsidP="00510B05">
            <w:pPr>
              <w:autoSpaceDE w:val="0"/>
              <w:autoSpaceDN w:val="0"/>
              <w:adjustRightInd w:val="0"/>
              <w:jc w:val="both"/>
              <w:rPr>
                <w:b/>
                <w:sz w:val="16"/>
                <w:szCs w:val="16"/>
              </w:rPr>
            </w:pPr>
            <w:r>
              <w:rPr>
                <w:b/>
                <w:sz w:val="16"/>
                <w:szCs w:val="16"/>
              </w:rPr>
              <w:t>58.898,10</w:t>
            </w:r>
          </w:p>
        </w:tc>
        <w:tc>
          <w:tcPr>
            <w:tcW w:w="1924" w:type="dxa"/>
            <w:shd w:val="clear" w:color="auto" w:fill="auto"/>
          </w:tcPr>
          <w:p w:rsidR="009774B2" w:rsidRPr="00AB6D74" w:rsidRDefault="009774B2" w:rsidP="00D90554">
            <w:pPr>
              <w:autoSpaceDE w:val="0"/>
              <w:autoSpaceDN w:val="0"/>
              <w:adjustRightInd w:val="0"/>
              <w:jc w:val="both"/>
              <w:rPr>
                <w:b/>
                <w:sz w:val="16"/>
                <w:szCs w:val="16"/>
              </w:rPr>
            </w:pPr>
            <w:r w:rsidRPr="00AB6D74">
              <w:rPr>
                <w:b/>
                <w:sz w:val="16"/>
                <w:szCs w:val="16"/>
              </w:rPr>
              <w:t>67.917,72</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b/>
                <w:bCs/>
                <w:sz w:val="16"/>
                <w:szCs w:val="16"/>
              </w:rPr>
            </w:pPr>
            <w:r w:rsidRPr="00AB6D74">
              <w:rPr>
                <w:b/>
                <w:sz w:val="16"/>
                <w:szCs w:val="16"/>
              </w:rPr>
              <w:t>Otros tributos</w:t>
            </w:r>
          </w:p>
        </w:tc>
        <w:tc>
          <w:tcPr>
            <w:tcW w:w="1944" w:type="dxa"/>
            <w:shd w:val="clear" w:color="auto" w:fill="auto"/>
          </w:tcPr>
          <w:p w:rsidR="009774B2" w:rsidRPr="00AB6D74" w:rsidRDefault="009774B2" w:rsidP="00510B05">
            <w:pPr>
              <w:autoSpaceDE w:val="0"/>
              <w:autoSpaceDN w:val="0"/>
              <w:adjustRightInd w:val="0"/>
              <w:jc w:val="both"/>
              <w:rPr>
                <w:b/>
                <w:sz w:val="16"/>
                <w:szCs w:val="16"/>
              </w:rPr>
            </w:pPr>
            <w:r>
              <w:rPr>
                <w:b/>
                <w:sz w:val="16"/>
                <w:szCs w:val="16"/>
              </w:rPr>
              <w:t>46,20</w:t>
            </w:r>
          </w:p>
        </w:tc>
        <w:tc>
          <w:tcPr>
            <w:tcW w:w="1924" w:type="dxa"/>
            <w:shd w:val="clear" w:color="auto" w:fill="auto"/>
          </w:tcPr>
          <w:p w:rsidR="009774B2" w:rsidRPr="00AB6D74" w:rsidRDefault="009774B2" w:rsidP="00D90554">
            <w:pPr>
              <w:autoSpaceDE w:val="0"/>
              <w:autoSpaceDN w:val="0"/>
              <w:adjustRightInd w:val="0"/>
              <w:jc w:val="both"/>
              <w:rPr>
                <w:b/>
                <w:sz w:val="16"/>
                <w:szCs w:val="16"/>
              </w:rPr>
            </w:pPr>
            <w:r w:rsidRPr="00AB6D74">
              <w:rPr>
                <w:b/>
                <w:sz w:val="16"/>
                <w:szCs w:val="16"/>
              </w:rPr>
              <w:t>2.335,64</w:t>
            </w:r>
          </w:p>
        </w:tc>
      </w:tr>
      <w:tr w:rsidR="009774B2" w:rsidRPr="00AB6D74" w:rsidTr="00AB6D74">
        <w:trPr>
          <w:tblCellSpacing w:w="20" w:type="dxa"/>
        </w:trPr>
        <w:tc>
          <w:tcPr>
            <w:tcW w:w="1953" w:type="dxa"/>
            <w:shd w:val="clear" w:color="auto" w:fill="auto"/>
          </w:tcPr>
          <w:p w:rsidR="009774B2" w:rsidRPr="00AB6D74" w:rsidRDefault="009774B2" w:rsidP="00510B05">
            <w:pPr>
              <w:autoSpaceDE w:val="0"/>
              <w:autoSpaceDN w:val="0"/>
              <w:adjustRightInd w:val="0"/>
              <w:jc w:val="both"/>
              <w:rPr>
                <w:b/>
                <w:bCs/>
                <w:sz w:val="16"/>
                <w:szCs w:val="16"/>
              </w:rPr>
            </w:pPr>
            <w:r w:rsidRPr="00AB6D74">
              <w:rPr>
                <w:b/>
                <w:bCs/>
                <w:sz w:val="16"/>
                <w:szCs w:val="16"/>
              </w:rPr>
              <w:t>Total</w:t>
            </w:r>
          </w:p>
        </w:tc>
        <w:tc>
          <w:tcPr>
            <w:tcW w:w="1944" w:type="dxa"/>
            <w:shd w:val="clear" w:color="auto" w:fill="auto"/>
          </w:tcPr>
          <w:p w:rsidR="009774B2" w:rsidRPr="00AB6D74" w:rsidRDefault="009774B2" w:rsidP="00510B05">
            <w:pPr>
              <w:autoSpaceDE w:val="0"/>
              <w:autoSpaceDN w:val="0"/>
              <w:adjustRightInd w:val="0"/>
              <w:jc w:val="both"/>
              <w:rPr>
                <w:b/>
                <w:sz w:val="16"/>
                <w:szCs w:val="16"/>
              </w:rPr>
            </w:pPr>
            <w:r>
              <w:rPr>
                <w:b/>
                <w:sz w:val="16"/>
                <w:szCs w:val="16"/>
              </w:rPr>
              <w:t>58.944,30</w:t>
            </w:r>
          </w:p>
        </w:tc>
        <w:tc>
          <w:tcPr>
            <w:tcW w:w="1924" w:type="dxa"/>
            <w:shd w:val="clear" w:color="auto" w:fill="auto"/>
          </w:tcPr>
          <w:p w:rsidR="009774B2" w:rsidRPr="00AB6D74" w:rsidRDefault="009774B2" w:rsidP="00D90554">
            <w:pPr>
              <w:autoSpaceDE w:val="0"/>
              <w:autoSpaceDN w:val="0"/>
              <w:adjustRightInd w:val="0"/>
              <w:jc w:val="both"/>
              <w:rPr>
                <w:b/>
                <w:sz w:val="16"/>
                <w:szCs w:val="16"/>
              </w:rPr>
            </w:pPr>
            <w:r w:rsidRPr="00AB6D74">
              <w:rPr>
                <w:b/>
                <w:sz w:val="16"/>
                <w:szCs w:val="16"/>
              </w:rPr>
              <w:t>70.253,36</w:t>
            </w:r>
          </w:p>
        </w:tc>
      </w:tr>
    </w:tbl>
    <w:p w:rsidR="00285329" w:rsidRDefault="00285329" w:rsidP="00510B05">
      <w:pPr>
        <w:autoSpaceDE w:val="0"/>
        <w:autoSpaceDN w:val="0"/>
        <w:adjustRightInd w:val="0"/>
        <w:jc w:val="both"/>
        <w:rPr>
          <w:sz w:val="22"/>
          <w:szCs w:val="22"/>
          <w:u w:val="single"/>
        </w:rPr>
      </w:pPr>
      <w:r w:rsidRPr="00B35A37">
        <w:rPr>
          <w:sz w:val="22"/>
          <w:szCs w:val="22"/>
          <w:u w:val="single"/>
        </w:rPr>
        <w:t>Ingresos de explotación</w:t>
      </w:r>
    </w:p>
    <w:p w:rsidR="00DC0F3A" w:rsidRPr="00B35A37" w:rsidRDefault="00DC0F3A" w:rsidP="00510B05">
      <w:pPr>
        <w:autoSpaceDE w:val="0"/>
        <w:autoSpaceDN w:val="0"/>
        <w:adjustRightInd w:val="0"/>
        <w:jc w:val="both"/>
        <w:rPr>
          <w:sz w:val="22"/>
          <w:szCs w:val="22"/>
          <w:u w:val="single"/>
        </w:rPr>
      </w:pPr>
    </w:p>
    <w:p w:rsidR="00285329" w:rsidRDefault="00285329" w:rsidP="00510B05">
      <w:pPr>
        <w:autoSpaceDE w:val="0"/>
        <w:autoSpaceDN w:val="0"/>
        <w:adjustRightInd w:val="0"/>
        <w:jc w:val="both"/>
        <w:rPr>
          <w:sz w:val="22"/>
          <w:szCs w:val="22"/>
        </w:rPr>
      </w:pPr>
      <w:r>
        <w:rPr>
          <w:sz w:val="22"/>
          <w:szCs w:val="22"/>
        </w:rPr>
        <w:t>Las principales partidas que componen los Ingresos de Explotación se detallan en el cuadro siguiente:</w:t>
      </w:r>
    </w:p>
    <w:tbl>
      <w:tblPr>
        <w:tblW w:w="0" w:type="auto"/>
        <w:tblCellSpacing w:w="20" w:type="dxa"/>
        <w:tblInd w:w="6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18"/>
        <w:gridCol w:w="926"/>
        <w:gridCol w:w="1134"/>
      </w:tblGrid>
      <w:tr w:rsidR="00285329" w:rsidRPr="00AB6D74" w:rsidTr="00AB6D74">
        <w:trPr>
          <w:tblCellSpacing w:w="20" w:type="dxa"/>
        </w:trPr>
        <w:tc>
          <w:tcPr>
            <w:tcW w:w="2458" w:type="dxa"/>
            <w:shd w:val="clear" w:color="auto" w:fill="auto"/>
          </w:tcPr>
          <w:p w:rsidR="00285329" w:rsidRPr="00AB6D74" w:rsidRDefault="00285329" w:rsidP="00510B05">
            <w:pPr>
              <w:autoSpaceDE w:val="0"/>
              <w:autoSpaceDN w:val="0"/>
              <w:adjustRightInd w:val="0"/>
              <w:jc w:val="both"/>
              <w:rPr>
                <w:sz w:val="16"/>
                <w:szCs w:val="16"/>
              </w:rPr>
            </w:pPr>
            <w:r w:rsidRPr="00AB6D74">
              <w:rPr>
                <w:b/>
                <w:bCs/>
                <w:sz w:val="16"/>
                <w:szCs w:val="16"/>
              </w:rPr>
              <w:t>Concepto</w:t>
            </w:r>
          </w:p>
        </w:tc>
        <w:tc>
          <w:tcPr>
            <w:tcW w:w="811" w:type="dxa"/>
            <w:shd w:val="clear" w:color="auto" w:fill="auto"/>
          </w:tcPr>
          <w:p w:rsidR="00285329" w:rsidRPr="00AB6D74" w:rsidRDefault="00285329" w:rsidP="00510B05">
            <w:pPr>
              <w:autoSpaceDE w:val="0"/>
              <w:autoSpaceDN w:val="0"/>
              <w:adjustRightInd w:val="0"/>
              <w:jc w:val="both"/>
              <w:rPr>
                <w:b/>
                <w:bCs/>
                <w:sz w:val="16"/>
                <w:szCs w:val="16"/>
              </w:rPr>
            </w:pPr>
            <w:r w:rsidRPr="00AB6D74">
              <w:rPr>
                <w:b/>
                <w:bCs/>
                <w:sz w:val="16"/>
                <w:szCs w:val="16"/>
              </w:rPr>
              <w:t>201</w:t>
            </w:r>
            <w:r w:rsidR="009774B2">
              <w:rPr>
                <w:b/>
                <w:bCs/>
                <w:sz w:val="16"/>
                <w:szCs w:val="16"/>
              </w:rPr>
              <w:t>4</w:t>
            </w:r>
            <w:r w:rsidRPr="00AB6D74">
              <w:rPr>
                <w:b/>
                <w:bCs/>
                <w:sz w:val="16"/>
                <w:szCs w:val="16"/>
              </w:rPr>
              <w:t xml:space="preserve"> </w:t>
            </w:r>
          </w:p>
          <w:p w:rsidR="00285329" w:rsidRPr="00AB6D74" w:rsidRDefault="00285329" w:rsidP="00510B05">
            <w:pPr>
              <w:autoSpaceDE w:val="0"/>
              <w:autoSpaceDN w:val="0"/>
              <w:adjustRightInd w:val="0"/>
              <w:jc w:val="both"/>
              <w:rPr>
                <w:sz w:val="16"/>
                <w:szCs w:val="16"/>
              </w:rPr>
            </w:pPr>
          </w:p>
        </w:tc>
        <w:tc>
          <w:tcPr>
            <w:tcW w:w="1074" w:type="dxa"/>
            <w:shd w:val="clear" w:color="auto" w:fill="auto"/>
          </w:tcPr>
          <w:p w:rsidR="00285329" w:rsidRPr="00AB6D74" w:rsidRDefault="00285329" w:rsidP="00510B05">
            <w:pPr>
              <w:autoSpaceDE w:val="0"/>
              <w:autoSpaceDN w:val="0"/>
              <w:adjustRightInd w:val="0"/>
              <w:jc w:val="both"/>
              <w:rPr>
                <w:sz w:val="16"/>
                <w:szCs w:val="16"/>
              </w:rPr>
            </w:pPr>
            <w:r w:rsidRPr="00AB6D74">
              <w:rPr>
                <w:b/>
                <w:bCs/>
                <w:sz w:val="16"/>
                <w:szCs w:val="16"/>
              </w:rPr>
              <w:t>201</w:t>
            </w:r>
            <w:r w:rsidR="009774B2">
              <w:rPr>
                <w:b/>
                <w:bCs/>
                <w:sz w:val="16"/>
                <w:szCs w:val="16"/>
              </w:rPr>
              <w:t>3</w:t>
            </w:r>
          </w:p>
        </w:tc>
      </w:tr>
      <w:tr w:rsidR="009774B2" w:rsidRPr="00AB6D74" w:rsidTr="00AB6D74">
        <w:trPr>
          <w:tblCellSpacing w:w="20" w:type="dxa"/>
        </w:trPr>
        <w:tc>
          <w:tcPr>
            <w:tcW w:w="2458" w:type="dxa"/>
            <w:shd w:val="clear" w:color="auto" w:fill="auto"/>
          </w:tcPr>
          <w:p w:rsidR="009774B2" w:rsidRPr="00AB6D74" w:rsidRDefault="009774B2" w:rsidP="00510B05">
            <w:pPr>
              <w:autoSpaceDE w:val="0"/>
              <w:autoSpaceDN w:val="0"/>
              <w:adjustRightInd w:val="0"/>
              <w:jc w:val="both"/>
              <w:rPr>
                <w:sz w:val="16"/>
                <w:szCs w:val="16"/>
              </w:rPr>
            </w:pPr>
            <w:r w:rsidRPr="00AB6D74">
              <w:rPr>
                <w:b/>
                <w:bCs/>
                <w:sz w:val="16"/>
                <w:szCs w:val="16"/>
              </w:rPr>
              <w:t>Ingresos por licencias y cuotas</w:t>
            </w:r>
          </w:p>
        </w:tc>
        <w:tc>
          <w:tcPr>
            <w:tcW w:w="811" w:type="dxa"/>
            <w:shd w:val="clear" w:color="auto" w:fill="auto"/>
          </w:tcPr>
          <w:p w:rsidR="009774B2" w:rsidRPr="00AB6D74" w:rsidRDefault="00E55776" w:rsidP="00510B05">
            <w:pPr>
              <w:autoSpaceDE w:val="0"/>
              <w:autoSpaceDN w:val="0"/>
              <w:adjustRightInd w:val="0"/>
              <w:jc w:val="both"/>
              <w:rPr>
                <w:sz w:val="16"/>
                <w:szCs w:val="16"/>
              </w:rPr>
            </w:pPr>
            <w:r>
              <w:rPr>
                <w:sz w:val="16"/>
                <w:szCs w:val="16"/>
              </w:rPr>
              <w:t>28.784,74</w:t>
            </w:r>
          </w:p>
        </w:tc>
        <w:tc>
          <w:tcPr>
            <w:tcW w:w="107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29.097,54</w:t>
            </w:r>
          </w:p>
        </w:tc>
      </w:tr>
      <w:tr w:rsidR="009774B2" w:rsidRPr="00AB6D74" w:rsidTr="00AB6D74">
        <w:trPr>
          <w:tblCellSpacing w:w="20" w:type="dxa"/>
        </w:trPr>
        <w:tc>
          <w:tcPr>
            <w:tcW w:w="2458" w:type="dxa"/>
            <w:shd w:val="clear" w:color="auto" w:fill="auto"/>
          </w:tcPr>
          <w:p w:rsidR="009774B2" w:rsidRPr="00AB6D74" w:rsidRDefault="009774B2" w:rsidP="00510B05">
            <w:pPr>
              <w:autoSpaceDE w:val="0"/>
              <w:autoSpaceDN w:val="0"/>
              <w:adjustRightInd w:val="0"/>
              <w:jc w:val="both"/>
              <w:rPr>
                <w:b/>
                <w:bCs/>
                <w:sz w:val="16"/>
                <w:szCs w:val="16"/>
              </w:rPr>
            </w:pPr>
            <w:r w:rsidRPr="00AB6D74">
              <w:rPr>
                <w:b/>
                <w:bCs/>
                <w:sz w:val="16"/>
                <w:szCs w:val="16"/>
              </w:rPr>
              <w:t>Ingresos por actividades docentes</w:t>
            </w:r>
          </w:p>
        </w:tc>
        <w:tc>
          <w:tcPr>
            <w:tcW w:w="811" w:type="dxa"/>
            <w:shd w:val="clear" w:color="auto" w:fill="auto"/>
          </w:tcPr>
          <w:p w:rsidR="009774B2" w:rsidRPr="00AB6D74" w:rsidRDefault="00E55776" w:rsidP="00510B05">
            <w:pPr>
              <w:autoSpaceDE w:val="0"/>
              <w:autoSpaceDN w:val="0"/>
              <w:adjustRightInd w:val="0"/>
              <w:jc w:val="both"/>
              <w:rPr>
                <w:sz w:val="16"/>
                <w:szCs w:val="16"/>
              </w:rPr>
            </w:pPr>
            <w:r>
              <w:rPr>
                <w:sz w:val="16"/>
                <w:szCs w:val="16"/>
              </w:rPr>
              <w:t>900,00</w:t>
            </w:r>
          </w:p>
        </w:tc>
        <w:tc>
          <w:tcPr>
            <w:tcW w:w="107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524,00</w:t>
            </w:r>
          </w:p>
        </w:tc>
      </w:tr>
      <w:tr w:rsidR="009774B2" w:rsidRPr="00AB6D74" w:rsidTr="00AB6D74">
        <w:trPr>
          <w:tblCellSpacing w:w="20" w:type="dxa"/>
        </w:trPr>
        <w:tc>
          <w:tcPr>
            <w:tcW w:w="2458" w:type="dxa"/>
            <w:shd w:val="clear" w:color="auto" w:fill="auto"/>
          </w:tcPr>
          <w:p w:rsidR="009774B2" w:rsidRPr="00AB6D74" w:rsidRDefault="009774B2" w:rsidP="00510B05">
            <w:pPr>
              <w:autoSpaceDE w:val="0"/>
              <w:autoSpaceDN w:val="0"/>
              <w:adjustRightInd w:val="0"/>
              <w:jc w:val="both"/>
              <w:rPr>
                <w:b/>
                <w:bCs/>
                <w:sz w:val="16"/>
                <w:szCs w:val="16"/>
              </w:rPr>
            </w:pPr>
            <w:r w:rsidRPr="00AB6D74">
              <w:rPr>
                <w:b/>
                <w:bCs/>
                <w:sz w:val="16"/>
                <w:szCs w:val="16"/>
              </w:rPr>
              <w:t>Ingresos de la Federacion Española de Tenis de Mesa</w:t>
            </w:r>
          </w:p>
        </w:tc>
        <w:tc>
          <w:tcPr>
            <w:tcW w:w="811" w:type="dxa"/>
            <w:shd w:val="clear" w:color="auto" w:fill="auto"/>
          </w:tcPr>
          <w:p w:rsidR="009774B2" w:rsidRPr="00AB6D74" w:rsidRDefault="00E55776" w:rsidP="00510B05">
            <w:pPr>
              <w:autoSpaceDE w:val="0"/>
              <w:autoSpaceDN w:val="0"/>
              <w:adjustRightInd w:val="0"/>
              <w:jc w:val="both"/>
              <w:rPr>
                <w:sz w:val="16"/>
                <w:szCs w:val="16"/>
              </w:rPr>
            </w:pPr>
            <w:r>
              <w:rPr>
                <w:sz w:val="16"/>
                <w:szCs w:val="16"/>
              </w:rPr>
              <w:t>3.607,20</w:t>
            </w:r>
          </w:p>
        </w:tc>
        <w:tc>
          <w:tcPr>
            <w:tcW w:w="107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26,60</w:t>
            </w:r>
          </w:p>
        </w:tc>
      </w:tr>
      <w:tr w:rsidR="009774B2" w:rsidRPr="00AB6D74" w:rsidTr="00AB6D74">
        <w:trPr>
          <w:tblCellSpacing w:w="20" w:type="dxa"/>
        </w:trPr>
        <w:tc>
          <w:tcPr>
            <w:tcW w:w="2458" w:type="dxa"/>
            <w:shd w:val="clear" w:color="auto" w:fill="auto"/>
          </w:tcPr>
          <w:p w:rsidR="009774B2" w:rsidRPr="00AB6D74" w:rsidRDefault="009774B2" w:rsidP="00510B05">
            <w:pPr>
              <w:autoSpaceDE w:val="0"/>
              <w:autoSpaceDN w:val="0"/>
              <w:adjustRightInd w:val="0"/>
              <w:jc w:val="both"/>
              <w:rPr>
                <w:b/>
                <w:bCs/>
                <w:sz w:val="16"/>
                <w:szCs w:val="16"/>
              </w:rPr>
            </w:pPr>
            <w:r w:rsidRPr="00AB6D74">
              <w:rPr>
                <w:b/>
                <w:bCs/>
                <w:sz w:val="16"/>
                <w:szCs w:val="16"/>
              </w:rPr>
              <w:t>Otros ingresos por prestación servicios</w:t>
            </w:r>
          </w:p>
        </w:tc>
        <w:tc>
          <w:tcPr>
            <w:tcW w:w="811" w:type="dxa"/>
            <w:shd w:val="clear" w:color="auto" w:fill="auto"/>
          </w:tcPr>
          <w:p w:rsidR="009774B2" w:rsidRPr="00AB6D74" w:rsidRDefault="00E55776" w:rsidP="00510B05">
            <w:pPr>
              <w:autoSpaceDE w:val="0"/>
              <w:autoSpaceDN w:val="0"/>
              <w:adjustRightInd w:val="0"/>
              <w:jc w:val="both"/>
              <w:rPr>
                <w:sz w:val="16"/>
                <w:szCs w:val="16"/>
              </w:rPr>
            </w:pPr>
            <w:r>
              <w:rPr>
                <w:sz w:val="16"/>
                <w:szCs w:val="16"/>
              </w:rPr>
              <w:t>4.558,65</w:t>
            </w:r>
          </w:p>
        </w:tc>
        <w:tc>
          <w:tcPr>
            <w:tcW w:w="107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2.152,12</w:t>
            </w:r>
          </w:p>
        </w:tc>
      </w:tr>
      <w:tr w:rsidR="009774B2" w:rsidRPr="00AB6D74" w:rsidTr="00AB6D74">
        <w:trPr>
          <w:tblCellSpacing w:w="20" w:type="dxa"/>
        </w:trPr>
        <w:tc>
          <w:tcPr>
            <w:tcW w:w="2458" w:type="dxa"/>
            <w:shd w:val="clear" w:color="auto" w:fill="auto"/>
          </w:tcPr>
          <w:p w:rsidR="009774B2" w:rsidRPr="00AB6D74" w:rsidRDefault="009774B2" w:rsidP="00510B05">
            <w:pPr>
              <w:autoSpaceDE w:val="0"/>
              <w:autoSpaceDN w:val="0"/>
              <w:adjustRightInd w:val="0"/>
              <w:jc w:val="both"/>
              <w:rPr>
                <w:b/>
                <w:bCs/>
                <w:sz w:val="16"/>
                <w:szCs w:val="16"/>
              </w:rPr>
            </w:pPr>
            <w:r w:rsidRPr="00AB6D74">
              <w:rPr>
                <w:b/>
                <w:bCs/>
                <w:sz w:val="16"/>
                <w:szCs w:val="16"/>
              </w:rPr>
              <w:t>Subvenciones</w:t>
            </w:r>
          </w:p>
        </w:tc>
        <w:tc>
          <w:tcPr>
            <w:tcW w:w="811" w:type="dxa"/>
            <w:shd w:val="clear" w:color="auto" w:fill="auto"/>
          </w:tcPr>
          <w:p w:rsidR="009774B2" w:rsidRPr="00AB6D74" w:rsidRDefault="00E55776" w:rsidP="00510B05">
            <w:pPr>
              <w:autoSpaceDE w:val="0"/>
              <w:autoSpaceDN w:val="0"/>
              <w:adjustRightInd w:val="0"/>
              <w:jc w:val="both"/>
              <w:rPr>
                <w:sz w:val="16"/>
                <w:szCs w:val="16"/>
              </w:rPr>
            </w:pPr>
            <w:r>
              <w:rPr>
                <w:sz w:val="16"/>
                <w:szCs w:val="16"/>
              </w:rPr>
              <w:t>27.136,00</w:t>
            </w:r>
          </w:p>
        </w:tc>
        <w:tc>
          <w:tcPr>
            <w:tcW w:w="107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36.006,40</w:t>
            </w:r>
          </w:p>
        </w:tc>
      </w:tr>
      <w:tr w:rsidR="009774B2" w:rsidRPr="00AB6D74" w:rsidTr="00AB6D74">
        <w:trPr>
          <w:tblCellSpacing w:w="20" w:type="dxa"/>
        </w:trPr>
        <w:tc>
          <w:tcPr>
            <w:tcW w:w="2458" w:type="dxa"/>
            <w:shd w:val="clear" w:color="auto" w:fill="auto"/>
          </w:tcPr>
          <w:p w:rsidR="009774B2" w:rsidRPr="00AB6D74" w:rsidRDefault="009774B2" w:rsidP="00510B05">
            <w:pPr>
              <w:autoSpaceDE w:val="0"/>
              <w:autoSpaceDN w:val="0"/>
              <w:adjustRightInd w:val="0"/>
              <w:jc w:val="both"/>
              <w:rPr>
                <w:b/>
                <w:bCs/>
                <w:sz w:val="16"/>
                <w:szCs w:val="16"/>
              </w:rPr>
            </w:pPr>
            <w:r w:rsidRPr="00AB6D74">
              <w:rPr>
                <w:b/>
                <w:bCs/>
                <w:sz w:val="16"/>
                <w:szCs w:val="16"/>
              </w:rPr>
              <w:t>Total</w:t>
            </w:r>
          </w:p>
        </w:tc>
        <w:tc>
          <w:tcPr>
            <w:tcW w:w="811" w:type="dxa"/>
            <w:shd w:val="clear" w:color="auto" w:fill="auto"/>
          </w:tcPr>
          <w:p w:rsidR="009774B2" w:rsidRPr="00AB6D74" w:rsidRDefault="00E55776" w:rsidP="00510B05">
            <w:pPr>
              <w:autoSpaceDE w:val="0"/>
              <w:autoSpaceDN w:val="0"/>
              <w:adjustRightInd w:val="0"/>
              <w:jc w:val="both"/>
              <w:rPr>
                <w:sz w:val="16"/>
                <w:szCs w:val="16"/>
              </w:rPr>
            </w:pPr>
            <w:r>
              <w:rPr>
                <w:sz w:val="16"/>
                <w:szCs w:val="16"/>
              </w:rPr>
              <w:t>64.986,59</w:t>
            </w:r>
          </w:p>
        </w:tc>
        <w:tc>
          <w:tcPr>
            <w:tcW w:w="1074" w:type="dxa"/>
            <w:shd w:val="clear" w:color="auto" w:fill="auto"/>
          </w:tcPr>
          <w:p w:rsidR="009774B2" w:rsidRPr="00AB6D74" w:rsidRDefault="009774B2" w:rsidP="00D90554">
            <w:pPr>
              <w:autoSpaceDE w:val="0"/>
              <w:autoSpaceDN w:val="0"/>
              <w:adjustRightInd w:val="0"/>
              <w:jc w:val="both"/>
              <w:rPr>
                <w:sz w:val="16"/>
                <w:szCs w:val="16"/>
              </w:rPr>
            </w:pPr>
            <w:r w:rsidRPr="00AB6D74">
              <w:rPr>
                <w:sz w:val="16"/>
                <w:szCs w:val="16"/>
              </w:rPr>
              <w:t>67.806,66</w:t>
            </w:r>
          </w:p>
        </w:tc>
      </w:tr>
    </w:tbl>
    <w:p w:rsidR="00285329" w:rsidRDefault="00285329" w:rsidP="00510B05">
      <w:pPr>
        <w:autoSpaceDE w:val="0"/>
        <w:autoSpaceDN w:val="0"/>
        <w:adjustRightInd w:val="0"/>
        <w:jc w:val="both"/>
        <w:rPr>
          <w:sz w:val="16"/>
          <w:szCs w:val="16"/>
        </w:rPr>
      </w:pPr>
    </w:p>
    <w:p w:rsidR="00EF5E1E" w:rsidRDefault="00EF5E1E" w:rsidP="00510B05">
      <w:pPr>
        <w:autoSpaceDE w:val="0"/>
        <w:autoSpaceDN w:val="0"/>
        <w:adjustRightInd w:val="0"/>
        <w:jc w:val="both"/>
        <w:rPr>
          <w:b/>
          <w:bCs/>
          <w:sz w:val="22"/>
          <w:szCs w:val="22"/>
        </w:rPr>
      </w:pPr>
      <w:r>
        <w:rPr>
          <w:b/>
          <w:bCs/>
          <w:sz w:val="22"/>
          <w:szCs w:val="22"/>
        </w:rPr>
        <w:t>NOTA 15. PROVISIONES Y CONTINGENCIAS</w:t>
      </w:r>
    </w:p>
    <w:p w:rsidR="00EF5E1E" w:rsidRDefault="00EF5E1E" w:rsidP="00510B05">
      <w:pPr>
        <w:autoSpaceDE w:val="0"/>
        <w:autoSpaceDN w:val="0"/>
        <w:adjustRightInd w:val="0"/>
        <w:jc w:val="both"/>
        <w:rPr>
          <w:sz w:val="22"/>
          <w:szCs w:val="22"/>
        </w:rPr>
      </w:pPr>
      <w:r>
        <w:rPr>
          <w:sz w:val="22"/>
          <w:szCs w:val="22"/>
        </w:rPr>
        <w:t>No existen.</w:t>
      </w:r>
    </w:p>
    <w:p w:rsidR="00EF5E1E" w:rsidRDefault="00EF5E1E" w:rsidP="00510B05">
      <w:pPr>
        <w:autoSpaceDE w:val="0"/>
        <w:autoSpaceDN w:val="0"/>
        <w:adjustRightInd w:val="0"/>
        <w:jc w:val="both"/>
        <w:rPr>
          <w:sz w:val="22"/>
          <w:szCs w:val="22"/>
        </w:rPr>
      </w:pPr>
    </w:p>
    <w:p w:rsidR="00EF5E1E" w:rsidRDefault="00EF5E1E" w:rsidP="00510B05">
      <w:pPr>
        <w:autoSpaceDE w:val="0"/>
        <w:autoSpaceDN w:val="0"/>
        <w:adjustRightInd w:val="0"/>
        <w:jc w:val="both"/>
        <w:rPr>
          <w:b/>
          <w:bCs/>
          <w:sz w:val="22"/>
          <w:szCs w:val="22"/>
        </w:rPr>
      </w:pPr>
      <w:r>
        <w:rPr>
          <w:b/>
          <w:bCs/>
          <w:sz w:val="22"/>
          <w:szCs w:val="22"/>
        </w:rPr>
        <w:t>NOTA 16. INFORMACIÓN SOBRE MEDIO AMBIENTE</w:t>
      </w:r>
    </w:p>
    <w:p w:rsidR="00EF5E1E" w:rsidRDefault="00EF5E1E" w:rsidP="00510B05">
      <w:pPr>
        <w:autoSpaceDE w:val="0"/>
        <w:autoSpaceDN w:val="0"/>
        <w:adjustRightInd w:val="0"/>
        <w:jc w:val="both"/>
        <w:rPr>
          <w:sz w:val="22"/>
          <w:szCs w:val="22"/>
        </w:rPr>
      </w:pPr>
      <w:r>
        <w:rPr>
          <w:sz w:val="22"/>
          <w:szCs w:val="22"/>
        </w:rPr>
        <w:t>Dada la actividad que realiza la Federación, la misma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la información de cuestiones medioambientales.</w:t>
      </w:r>
    </w:p>
    <w:p w:rsidR="00EF5E1E" w:rsidRDefault="00EF5E1E" w:rsidP="00510B05">
      <w:pPr>
        <w:autoSpaceDE w:val="0"/>
        <w:autoSpaceDN w:val="0"/>
        <w:adjustRightInd w:val="0"/>
        <w:jc w:val="both"/>
        <w:rPr>
          <w:sz w:val="22"/>
          <w:szCs w:val="22"/>
        </w:rPr>
      </w:pPr>
    </w:p>
    <w:p w:rsidR="00EF5E1E" w:rsidRDefault="00EF5E1E" w:rsidP="00510B05">
      <w:pPr>
        <w:autoSpaceDE w:val="0"/>
        <w:autoSpaceDN w:val="0"/>
        <w:adjustRightInd w:val="0"/>
        <w:jc w:val="both"/>
        <w:rPr>
          <w:b/>
          <w:bCs/>
          <w:sz w:val="22"/>
          <w:szCs w:val="22"/>
        </w:rPr>
      </w:pPr>
      <w:r>
        <w:rPr>
          <w:b/>
          <w:bCs/>
          <w:sz w:val="22"/>
          <w:szCs w:val="22"/>
        </w:rPr>
        <w:t>NOTA 1</w:t>
      </w:r>
      <w:r w:rsidR="00BE3792">
        <w:rPr>
          <w:b/>
          <w:bCs/>
          <w:sz w:val="22"/>
          <w:szCs w:val="22"/>
        </w:rPr>
        <w:t>7</w:t>
      </w:r>
      <w:r>
        <w:rPr>
          <w:b/>
          <w:bCs/>
          <w:sz w:val="22"/>
          <w:szCs w:val="22"/>
        </w:rPr>
        <w:t>. OTRA INFORMACIÓN</w:t>
      </w:r>
    </w:p>
    <w:p w:rsidR="00EF5E1E" w:rsidRDefault="00EF5E1E" w:rsidP="00510B05">
      <w:pPr>
        <w:autoSpaceDE w:val="0"/>
        <w:autoSpaceDN w:val="0"/>
        <w:adjustRightInd w:val="0"/>
        <w:jc w:val="both"/>
        <w:rPr>
          <w:sz w:val="22"/>
          <w:szCs w:val="22"/>
        </w:rPr>
      </w:pPr>
      <w:r w:rsidRPr="00EF5E1E">
        <w:rPr>
          <w:sz w:val="22"/>
          <w:szCs w:val="22"/>
        </w:rPr>
        <w:t>La Federación no tiene personal en plantilla</w:t>
      </w:r>
    </w:p>
    <w:p w:rsidR="00EF5E1E" w:rsidRDefault="00EF5E1E" w:rsidP="00510B05">
      <w:pPr>
        <w:autoSpaceDE w:val="0"/>
        <w:autoSpaceDN w:val="0"/>
        <w:adjustRightInd w:val="0"/>
        <w:jc w:val="both"/>
        <w:rPr>
          <w:sz w:val="22"/>
          <w:szCs w:val="22"/>
        </w:rPr>
      </w:pPr>
    </w:p>
    <w:p w:rsidR="00EF5E1E" w:rsidRDefault="00EF5E1E" w:rsidP="00510B05">
      <w:pPr>
        <w:autoSpaceDE w:val="0"/>
        <w:autoSpaceDN w:val="0"/>
        <w:adjustRightInd w:val="0"/>
        <w:jc w:val="both"/>
        <w:rPr>
          <w:b/>
          <w:bCs/>
          <w:sz w:val="22"/>
          <w:szCs w:val="22"/>
        </w:rPr>
      </w:pPr>
      <w:r>
        <w:rPr>
          <w:b/>
          <w:bCs/>
          <w:sz w:val="22"/>
          <w:szCs w:val="22"/>
        </w:rPr>
        <w:t xml:space="preserve">NOTA </w:t>
      </w:r>
      <w:r w:rsidR="00BE3792">
        <w:rPr>
          <w:b/>
          <w:bCs/>
          <w:sz w:val="22"/>
          <w:szCs w:val="22"/>
        </w:rPr>
        <w:t>18</w:t>
      </w:r>
      <w:r>
        <w:rPr>
          <w:b/>
          <w:bCs/>
          <w:sz w:val="22"/>
          <w:szCs w:val="22"/>
        </w:rPr>
        <w:t>. BASES DE PRESENTACIÓN DE LA LIQUIDACIÓN DEL PRESUPUESTO</w:t>
      </w:r>
    </w:p>
    <w:p w:rsidR="00DC0F3A" w:rsidRDefault="00DC0F3A" w:rsidP="00510B05">
      <w:pPr>
        <w:autoSpaceDE w:val="0"/>
        <w:autoSpaceDN w:val="0"/>
        <w:adjustRightInd w:val="0"/>
        <w:jc w:val="both"/>
        <w:rPr>
          <w:b/>
          <w:bCs/>
          <w:sz w:val="22"/>
          <w:szCs w:val="22"/>
        </w:rPr>
      </w:pPr>
    </w:p>
    <w:p w:rsidR="00EF5E1E" w:rsidRDefault="00EF5E1E" w:rsidP="00510B05">
      <w:pPr>
        <w:autoSpaceDE w:val="0"/>
        <w:autoSpaceDN w:val="0"/>
        <w:adjustRightInd w:val="0"/>
        <w:jc w:val="both"/>
        <w:rPr>
          <w:sz w:val="22"/>
          <w:szCs w:val="22"/>
        </w:rPr>
      </w:pPr>
      <w:r>
        <w:rPr>
          <w:sz w:val="22"/>
          <w:szCs w:val="22"/>
        </w:rPr>
        <w:t>Los criterios de liquidación del Presupuesto se basan en los siguientes conceptos:</w:t>
      </w:r>
    </w:p>
    <w:p w:rsidR="00DC0F3A" w:rsidRDefault="00DC0F3A" w:rsidP="00510B05">
      <w:pPr>
        <w:autoSpaceDE w:val="0"/>
        <w:autoSpaceDN w:val="0"/>
        <w:adjustRightInd w:val="0"/>
        <w:jc w:val="both"/>
        <w:rPr>
          <w:sz w:val="22"/>
          <w:szCs w:val="22"/>
        </w:rPr>
      </w:pPr>
    </w:p>
    <w:p w:rsidR="00EF5E1E" w:rsidRDefault="00EF5E1E" w:rsidP="00510B05">
      <w:pPr>
        <w:autoSpaceDE w:val="0"/>
        <w:autoSpaceDN w:val="0"/>
        <w:adjustRightInd w:val="0"/>
        <w:jc w:val="both"/>
        <w:rPr>
          <w:sz w:val="22"/>
          <w:szCs w:val="22"/>
        </w:rPr>
      </w:pPr>
      <w:r>
        <w:rPr>
          <w:sz w:val="22"/>
          <w:szCs w:val="22"/>
        </w:rPr>
        <w:t>- Cumplimiento de legalidad: el Presupuesto se liquida en base a las normas legales establecidas por</w:t>
      </w:r>
      <w:r w:rsidR="00C16E55">
        <w:rPr>
          <w:sz w:val="22"/>
          <w:szCs w:val="22"/>
        </w:rPr>
        <w:t xml:space="preserve"> la Legislación Estatal y Autonómica, dentro de los marcos normativos vigentes del deporte, de las subvenciones, contables, laborales, y fiscales</w:t>
      </w:r>
      <w:r>
        <w:rPr>
          <w:sz w:val="22"/>
          <w:szCs w:val="22"/>
        </w:rPr>
        <w:t>.</w:t>
      </w:r>
    </w:p>
    <w:p w:rsidR="00EF5E1E" w:rsidRDefault="00EF5E1E" w:rsidP="00510B05">
      <w:pPr>
        <w:autoSpaceDE w:val="0"/>
        <w:autoSpaceDN w:val="0"/>
        <w:adjustRightInd w:val="0"/>
        <w:jc w:val="both"/>
        <w:rPr>
          <w:sz w:val="22"/>
          <w:szCs w:val="22"/>
        </w:rPr>
      </w:pPr>
      <w:r>
        <w:rPr>
          <w:sz w:val="22"/>
          <w:szCs w:val="22"/>
        </w:rPr>
        <w:t>- La liquidación se va a presentar comparando partidas homogéneas entre el Presupuesto final y la contabilidad y cuantificando las desviaciones.</w:t>
      </w:r>
    </w:p>
    <w:p w:rsidR="00EF5E1E" w:rsidRDefault="00EF5E1E" w:rsidP="00510B05">
      <w:pPr>
        <w:autoSpaceDE w:val="0"/>
        <w:autoSpaceDN w:val="0"/>
        <w:adjustRightInd w:val="0"/>
        <w:jc w:val="both"/>
        <w:rPr>
          <w:sz w:val="22"/>
          <w:szCs w:val="22"/>
        </w:rPr>
      </w:pPr>
      <w:r>
        <w:rPr>
          <w:sz w:val="22"/>
          <w:szCs w:val="22"/>
        </w:rPr>
        <w:t>- Dado que el resultado presupuestario es cero, la desviación es exactamente el resultado contable.</w:t>
      </w:r>
    </w:p>
    <w:p w:rsidR="00EF5E1E" w:rsidRDefault="00EF5E1E" w:rsidP="00510B05">
      <w:pPr>
        <w:autoSpaceDE w:val="0"/>
        <w:autoSpaceDN w:val="0"/>
        <w:adjustRightInd w:val="0"/>
        <w:jc w:val="both"/>
        <w:rPr>
          <w:sz w:val="22"/>
          <w:szCs w:val="22"/>
        </w:rPr>
      </w:pPr>
      <w:r>
        <w:rPr>
          <w:sz w:val="22"/>
          <w:szCs w:val="22"/>
        </w:rPr>
        <w:t xml:space="preserve">- </w:t>
      </w:r>
      <w:r w:rsidR="00C16E55">
        <w:rPr>
          <w:sz w:val="22"/>
          <w:szCs w:val="22"/>
        </w:rPr>
        <w:t>Las modificaciones sobre el Presupuesto inicial aprobado y el definitivo, viene dado por la diferencia entre los Recursos solicitados a las Administraciones Públicas y los realmente percibidos, por las estimaciones del número de licencias y las realmente expedidas, así como por las variaciones en las Liquidaciones de las actividades y Campeonatos realizados contra los gastos estimados según históricos.</w:t>
      </w:r>
    </w:p>
    <w:p w:rsidR="00C16E55" w:rsidRDefault="00C16E55" w:rsidP="00510B05">
      <w:pPr>
        <w:autoSpaceDE w:val="0"/>
        <w:autoSpaceDN w:val="0"/>
        <w:adjustRightInd w:val="0"/>
        <w:jc w:val="both"/>
        <w:rPr>
          <w:color w:val="FF0000"/>
          <w:sz w:val="22"/>
          <w:szCs w:val="22"/>
        </w:rPr>
      </w:pPr>
    </w:p>
    <w:p w:rsidR="00EF5E1E" w:rsidRDefault="00EF5E1E" w:rsidP="00510B05">
      <w:pPr>
        <w:autoSpaceDE w:val="0"/>
        <w:autoSpaceDN w:val="0"/>
        <w:adjustRightInd w:val="0"/>
        <w:jc w:val="both"/>
        <w:rPr>
          <w:b/>
          <w:bCs/>
          <w:sz w:val="22"/>
          <w:szCs w:val="22"/>
        </w:rPr>
      </w:pPr>
      <w:r>
        <w:rPr>
          <w:b/>
          <w:bCs/>
          <w:sz w:val="22"/>
          <w:szCs w:val="22"/>
        </w:rPr>
        <w:t xml:space="preserve">NOTA </w:t>
      </w:r>
      <w:r w:rsidR="00BE3792">
        <w:rPr>
          <w:b/>
          <w:bCs/>
          <w:sz w:val="22"/>
          <w:szCs w:val="22"/>
        </w:rPr>
        <w:t>19</w:t>
      </w:r>
      <w:r>
        <w:rPr>
          <w:b/>
          <w:bCs/>
          <w:sz w:val="22"/>
          <w:szCs w:val="22"/>
        </w:rPr>
        <w:t>. CONCILIACIÓN DEL PRESUPUESTO Y CUENTA DE PÉRDIDAS Y</w:t>
      </w:r>
    </w:p>
    <w:p w:rsidR="00EF5E1E" w:rsidRDefault="00EF5E1E" w:rsidP="00510B05">
      <w:pPr>
        <w:autoSpaceDE w:val="0"/>
        <w:autoSpaceDN w:val="0"/>
        <w:adjustRightInd w:val="0"/>
        <w:jc w:val="both"/>
        <w:rPr>
          <w:b/>
          <w:bCs/>
          <w:sz w:val="22"/>
          <w:szCs w:val="22"/>
        </w:rPr>
      </w:pPr>
      <w:r>
        <w:rPr>
          <w:b/>
          <w:bCs/>
          <w:sz w:val="22"/>
          <w:szCs w:val="22"/>
        </w:rPr>
        <w:t>GANANCIAS</w:t>
      </w:r>
    </w:p>
    <w:p w:rsidR="00EF5E1E" w:rsidRDefault="00EF5E1E" w:rsidP="00510B05">
      <w:pPr>
        <w:autoSpaceDE w:val="0"/>
        <w:autoSpaceDN w:val="0"/>
        <w:adjustRightInd w:val="0"/>
        <w:jc w:val="both"/>
        <w:rPr>
          <w:sz w:val="22"/>
          <w:szCs w:val="22"/>
        </w:rPr>
      </w:pPr>
      <w:r>
        <w:rPr>
          <w:sz w:val="22"/>
          <w:szCs w:val="22"/>
        </w:rPr>
        <w:t>No existen diferencias de criterio y políticas contables entre el Presupuesto y la cuenta de Pérdidas y Ganancias dado que el Presupuesto se elabora siguiendo criterios contables.</w:t>
      </w:r>
    </w:p>
    <w:p w:rsidR="00EF5E1E" w:rsidRDefault="00EF5E1E" w:rsidP="00510B05">
      <w:pPr>
        <w:autoSpaceDE w:val="0"/>
        <w:autoSpaceDN w:val="0"/>
        <w:adjustRightInd w:val="0"/>
        <w:jc w:val="both"/>
        <w:rPr>
          <w:sz w:val="22"/>
          <w:szCs w:val="22"/>
        </w:rPr>
      </w:pPr>
    </w:p>
    <w:p w:rsidR="00EF5E1E" w:rsidRDefault="00EF5E1E" w:rsidP="00510B05">
      <w:pPr>
        <w:autoSpaceDE w:val="0"/>
        <w:autoSpaceDN w:val="0"/>
        <w:adjustRightInd w:val="0"/>
        <w:jc w:val="both"/>
        <w:rPr>
          <w:b/>
          <w:bCs/>
          <w:sz w:val="22"/>
          <w:szCs w:val="22"/>
        </w:rPr>
      </w:pPr>
      <w:r>
        <w:rPr>
          <w:b/>
          <w:bCs/>
          <w:sz w:val="22"/>
          <w:szCs w:val="22"/>
        </w:rPr>
        <w:t>NOTA 2</w:t>
      </w:r>
      <w:r w:rsidR="00BE3792">
        <w:rPr>
          <w:b/>
          <w:bCs/>
          <w:sz w:val="22"/>
          <w:szCs w:val="22"/>
        </w:rPr>
        <w:t>0</w:t>
      </w:r>
      <w:r>
        <w:rPr>
          <w:b/>
          <w:bCs/>
          <w:sz w:val="22"/>
          <w:szCs w:val="22"/>
        </w:rPr>
        <w:t>. HECHOS POSTERIORES</w:t>
      </w:r>
    </w:p>
    <w:p w:rsidR="00EF5E1E" w:rsidRDefault="00EF5E1E" w:rsidP="00510B05">
      <w:pPr>
        <w:autoSpaceDE w:val="0"/>
        <w:autoSpaceDN w:val="0"/>
        <w:adjustRightInd w:val="0"/>
        <w:jc w:val="both"/>
        <w:rPr>
          <w:sz w:val="22"/>
          <w:szCs w:val="22"/>
        </w:rPr>
      </w:pPr>
      <w:r>
        <w:rPr>
          <w:sz w:val="22"/>
          <w:szCs w:val="22"/>
        </w:rPr>
        <w:t>Con posterioridad al cierre del ejercicio y hasta la formulación de las presentes cuentas anuales no se han puesto de manifiesto circunstancias que hayan existido antes del cierre y que pudieran suponer la inclusión de ajustes en las cifras contenidas en las cuentas anuales.</w:t>
      </w:r>
    </w:p>
    <w:p w:rsidR="00EF5E1E" w:rsidRDefault="00EF5E1E" w:rsidP="00510B05">
      <w:pPr>
        <w:autoSpaceDE w:val="0"/>
        <w:autoSpaceDN w:val="0"/>
        <w:adjustRightInd w:val="0"/>
        <w:jc w:val="both"/>
        <w:rPr>
          <w:sz w:val="22"/>
          <w:szCs w:val="22"/>
        </w:rPr>
      </w:pPr>
      <w:r>
        <w:rPr>
          <w:sz w:val="22"/>
          <w:szCs w:val="22"/>
        </w:rPr>
        <w:t>Tampoco se han mostrado condiciones de relevancia que no existiesen al cierre del ejercicio y que puedan afectar a las presentes cuentas anuales en cuanto a su evaluación, ni se han producido acontecimientos que afecten a la continuidad de la Federación.</w:t>
      </w:r>
    </w:p>
    <w:p w:rsidR="00DC0F3A" w:rsidRDefault="00DC0F3A" w:rsidP="00510B05">
      <w:pPr>
        <w:autoSpaceDE w:val="0"/>
        <w:autoSpaceDN w:val="0"/>
        <w:adjustRightInd w:val="0"/>
        <w:jc w:val="both"/>
        <w:rPr>
          <w:sz w:val="22"/>
          <w:szCs w:val="22"/>
        </w:rPr>
      </w:pPr>
    </w:p>
    <w:p w:rsidR="00DC0F3A" w:rsidRDefault="00DC0F3A" w:rsidP="00510B05">
      <w:pPr>
        <w:autoSpaceDE w:val="0"/>
        <w:autoSpaceDN w:val="0"/>
        <w:adjustRightInd w:val="0"/>
        <w:jc w:val="both"/>
        <w:rPr>
          <w:sz w:val="22"/>
          <w:szCs w:val="22"/>
        </w:rPr>
      </w:pPr>
    </w:p>
    <w:p w:rsidR="00DC0F3A" w:rsidRDefault="00DC0F3A" w:rsidP="00510B05">
      <w:pPr>
        <w:autoSpaceDE w:val="0"/>
        <w:autoSpaceDN w:val="0"/>
        <w:adjustRightInd w:val="0"/>
        <w:jc w:val="both"/>
        <w:rPr>
          <w:sz w:val="22"/>
          <w:szCs w:val="22"/>
        </w:rPr>
      </w:pPr>
    </w:p>
    <w:p w:rsidR="00AC4366" w:rsidRDefault="00AC4366" w:rsidP="00510B05">
      <w:pPr>
        <w:autoSpaceDE w:val="0"/>
        <w:autoSpaceDN w:val="0"/>
        <w:adjustRightInd w:val="0"/>
        <w:jc w:val="both"/>
        <w:rPr>
          <w:sz w:val="22"/>
          <w:szCs w:val="22"/>
        </w:rPr>
      </w:pPr>
      <w:r>
        <w:rPr>
          <w:sz w:val="22"/>
          <w:szCs w:val="22"/>
        </w:rPr>
        <w:t>****************************</w:t>
      </w:r>
    </w:p>
    <w:p w:rsidR="00AC4366" w:rsidRDefault="00AC4366" w:rsidP="00510B05">
      <w:pPr>
        <w:autoSpaceDE w:val="0"/>
        <w:autoSpaceDN w:val="0"/>
        <w:adjustRightInd w:val="0"/>
        <w:jc w:val="both"/>
        <w:rPr>
          <w:b/>
          <w:bCs/>
          <w:sz w:val="22"/>
          <w:szCs w:val="22"/>
        </w:rPr>
      </w:pPr>
      <w:r>
        <w:rPr>
          <w:b/>
          <w:bCs/>
          <w:sz w:val="22"/>
          <w:szCs w:val="22"/>
        </w:rPr>
        <w:t>FORMULACIÓN DE CUENTAS ANUALES</w:t>
      </w:r>
    </w:p>
    <w:p w:rsidR="00AC4366" w:rsidRPr="00EF5E1E" w:rsidRDefault="00AC4366" w:rsidP="00510B05">
      <w:pPr>
        <w:autoSpaceDE w:val="0"/>
        <w:autoSpaceDN w:val="0"/>
        <w:adjustRightInd w:val="0"/>
        <w:jc w:val="both"/>
        <w:rPr>
          <w:color w:val="FF0000"/>
          <w:sz w:val="16"/>
          <w:szCs w:val="16"/>
        </w:rPr>
      </w:pPr>
      <w:r>
        <w:rPr>
          <w:sz w:val="22"/>
          <w:szCs w:val="22"/>
        </w:rPr>
        <w:t xml:space="preserve">En cumplimiento de la normativa mercantil vigente, la Junta Directiva de la </w:t>
      </w:r>
      <w:r>
        <w:rPr>
          <w:b/>
          <w:bCs/>
          <w:sz w:val="22"/>
          <w:szCs w:val="22"/>
        </w:rPr>
        <w:t xml:space="preserve">FEDERACIÓN GALLEGA DE TENIS DE MESA </w:t>
      </w:r>
      <w:r>
        <w:rPr>
          <w:sz w:val="22"/>
          <w:szCs w:val="22"/>
        </w:rPr>
        <w:t>formula las cuentas anuales correspondientes al ejercicio anual terminado el 31 de diciembre de 201</w:t>
      </w:r>
      <w:r w:rsidR="000656A1">
        <w:rPr>
          <w:sz w:val="22"/>
          <w:szCs w:val="22"/>
        </w:rPr>
        <w:t>4</w:t>
      </w:r>
      <w:r>
        <w:rPr>
          <w:sz w:val="22"/>
          <w:szCs w:val="22"/>
        </w:rPr>
        <w:t xml:space="preserve">, que se componen de las hojas adjuntas número </w:t>
      </w:r>
      <w:smartTag w:uri="urn:schemas-microsoft-com:office:smarttags" w:element="metricconverter">
        <w:smartTagPr>
          <w:attr w:name="ProductID" w:val="1 a"/>
        </w:smartTagPr>
        <w:r>
          <w:rPr>
            <w:sz w:val="22"/>
            <w:szCs w:val="22"/>
          </w:rPr>
          <w:t>1 a</w:t>
        </w:r>
      </w:smartTag>
      <w:r>
        <w:rPr>
          <w:sz w:val="22"/>
          <w:szCs w:val="22"/>
        </w:rPr>
        <w:t xml:space="preserve"> 34, ambas inclusive, firmando las mismas en la última hoja en señal de conformidad con las anteriores.</w:t>
      </w:r>
    </w:p>
    <w:sectPr w:rsidR="00AC4366" w:rsidRPr="00EF5E1E" w:rsidSect="00B35A37">
      <w:pgSz w:w="11905" w:h="16837"/>
      <w:pgMar w:top="993" w:right="848" w:bottom="1418"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AD" w:rsidRDefault="00BF19AD">
      <w:r>
        <w:separator/>
      </w:r>
    </w:p>
  </w:endnote>
  <w:endnote w:type="continuationSeparator" w:id="0">
    <w:p w:rsidR="00BF19AD" w:rsidRDefault="00BF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AD" w:rsidRDefault="00BF19AD">
      <w:r>
        <w:separator/>
      </w:r>
    </w:p>
  </w:footnote>
  <w:footnote w:type="continuationSeparator" w:id="0">
    <w:p w:rsidR="00BF19AD" w:rsidRDefault="00BF1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51033"/>
    <w:multiLevelType w:val="hybridMultilevel"/>
    <w:tmpl w:val="8D72BC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EB87BA0"/>
    <w:multiLevelType w:val="hybridMultilevel"/>
    <w:tmpl w:val="870A3280"/>
    <w:lvl w:ilvl="0" w:tplc="858E056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91"/>
    <w:rsid w:val="000656A1"/>
    <w:rsid w:val="00065F5E"/>
    <w:rsid w:val="000A6BF7"/>
    <w:rsid w:val="000C4F26"/>
    <w:rsid w:val="001454BE"/>
    <w:rsid w:val="00190BB6"/>
    <w:rsid w:val="00212E57"/>
    <w:rsid w:val="00275C91"/>
    <w:rsid w:val="00285329"/>
    <w:rsid w:val="00350B52"/>
    <w:rsid w:val="003F5B54"/>
    <w:rsid w:val="003F71B3"/>
    <w:rsid w:val="00424F27"/>
    <w:rsid w:val="00437B70"/>
    <w:rsid w:val="00490DFF"/>
    <w:rsid w:val="00510B05"/>
    <w:rsid w:val="005E350B"/>
    <w:rsid w:val="0063431C"/>
    <w:rsid w:val="00644605"/>
    <w:rsid w:val="00645E27"/>
    <w:rsid w:val="006B6A0E"/>
    <w:rsid w:val="006D32C2"/>
    <w:rsid w:val="00791BCF"/>
    <w:rsid w:val="0080776E"/>
    <w:rsid w:val="00872182"/>
    <w:rsid w:val="009075E4"/>
    <w:rsid w:val="00973CFD"/>
    <w:rsid w:val="009774B2"/>
    <w:rsid w:val="009D33E1"/>
    <w:rsid w:val="00A76BCC"/>
    <w:rsid w:val="00A93B3D"/>
    <w:rsid w:val="00AB6D74"/>
    <w:rsid w:val="00AC4366"/>
    <w:rsid w:val="00AC55E8"/>
    <w:rsid w:val="00B22E53"/>
    <w:rsid w:val="00B35A37"/>
    <w:rsid w:val="00B61D6C"/>
    <w:rsid w:val="00BC1291"/>
    <w:rsid w:val="00BC4D80"/>
    <w:rsid w:val="00BE3792"/>
    <w:rsid w:val="00BE52F6"/>
    <w:rsid w:val="00BF19AD"/>
    <w:rsid w:val="00C055BB"/>
    <w:rsid w:val="00C16E55"/>
    <w:rsid w:val="00C94ED7"/>
    <w:rsid w:val="00CF49E3"/>
    <w:rsid w:val="00D40AF8"/>
    <w:rsid w:val="00D45A63"/>
    <w:rsid w:val="00D60061"/>
    <w:rsid w:val="00D675A1"/>
    <w:rsid w:val="00D71B69"/>
    <w:rsid w:val="00D90554"/>
    <w:rsid w:val="00DA1706"/>
    <w:rsid w:val="00DC0F3A"/>
    <w:rsid w:val="00DE2722"/>
    <w:rsid w:val="00E34220"/>
    <w:rsid w:val="00E55776"/>
    <w:rsid w:val="00E56E2E"/>
    <w:rsid w:val="00E8195A"/>
    <w:rsid w:val="00EF5E1E"/>
  </w:rsids>
  <m:mathPr>
    <m:mathFont m:val="Cambria Math"/>
    <m:brkBin m:val="before"/>
    <m:brkBinSub m:val="--"/>
    <m:smallFrac m:val="0"/>
    <m:dispDef/>
    <m:lMargin m:val="0"/>
    <m:rMargin m:val="0"/>
    <m:defJc m:val="centerGroup"/>
    <m:wrapIndent m:val="1440"/>
    <m:intLim m:val="subSup"/>
    <m:naryLim m:val="undOvr"/>
  </m:mathPr>
  <w:themeFontLang w:val="gl-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2">
    <w:name w:val="Table Web 2"/>
    <w:basedOn w:val="Tablanormal"/>
    <w:rsid w:val="00D600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iedepgina">
    <w:name w:val="footer"/>
    <w:basedOn w:val="Normal"/>
    <w:rsid w:val="00D40AF8"/>
    <w:pPr>
      <w:tabs>
        <w:tab w:val="center" w:pos="4252"/>
        <w:tab w:val="right" w:pos="8504"/>
      </w:tabs>
    </w:pPr>
  </w:style>
  <w:style w:type="character" w:styleId="Nmerodepgina">
    <w:name w:val="page number"/>
    <w:basedOn w:val="Fuentedeprrafopredeter"/>
    <w:rsid w:val="00D40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gl-ES" w:eastAsia="gl-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web2">
    <w:name w:val="Table Web 2"/>
    <w:basedOn w:val="Tablanormal"/>
    <w:rsid w:val="00D6006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iedepgina">
    <w:name w:val="footer"/>
    <w:basedOn w:val="Normal"/>
    <w:rsid w:val="00D40AF8"/>
    <w:pPr>
      <w:tabs>
        <w:tab w:val="center" w:pos="4252"/>
        <w:tab w:val="right" w:pos="8504"/>
      </w:tabs>
    </w:pPr>
  </w:style>
  <w:style w:type="character" w:styleId="Nmerodepgina">
    <w:name w:val="page number"/>
    <w:basedOn w:val="Fuentedeprrafopredeter"/>
    <w:rsid w:val="00D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2813</Words>
  <Characters>16035</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FEDERACIÓN GALLEGA DE TENIS DE MESA</vt:lpstr>
    </vt:vector>
  </TitlesOfParts>
  <Company/>
  <LinksUpToDate>false</LinksUpToDate>
  <CharactersWithSpaces>18811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GALLEGA DE TENIS DE MESA</dc:title>
  <dc:creator>Carmen</dc:creator>
  <cp:lastModifiedBy>Usuario</cp:lastModifiedBy>
  <cp:revision>2</cp:revision>
  <dcterms:created xsi:type="dcterms:W3CDTF">2015-07-09T11:55:00Z</dcterms:created>
  <dcterms:modified xsi:type="dcterms:W3CDTF">2015-07-09T11:55:00Z</dcterms:modified>
</cp:coreProperties>
</file>